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33F" w:rsidRPr="00D5633F" w:rsidRDefault="00D5633F" w:rsidP="00D5633F">
      <w:pPr>
        <w:widowControl/>
        <w:jc w:val="center"/>
        <w:rPr>
          <w:rFonts w:ascii="Times New Roman" w:eastAsiaTheme="minorHAnsi" w:hAnsi="Times New Roman"/>
          <w:b/>
          <w:sz w:val="24"/>
          <w:szCs w:val="24"/>
          <w:lang w:val="lv-LV" w:eastAsia="lv-LV"/>
        </w:rPr>
      </w:pPr>
      <w:r w:rsidRPr="00D5633F">
        <w:rPr>
          <w:rFonts w:ascii="Times New Roman" w:eastAsiaTheme="minorHAnsi" w:hAnsi="Times New Roman"/>
          <w:sz w:val="24"/>
          <w:szCs w:val="24"/>
          <w:lang w:val="lv-LV" w:eastAsia="lv-LV"/>
        </w:rPr>
        <w:t>Iepirkuma</w:t>
      </w:r>
      <w:r w:rsidRPr="00D5633F">
        <w:rPr>
          <w:rFonts w:ascii="Times New Roman" w:eastAsiaTheme="minorHAnsi" w:hAnsi="Times New Roman"/>
          <w:b/>
          <w:sz w:val="24"/>
          <w:szCs w:val="24"/>
          <w:lang w:val="lv-LV" w:eastAsia="lv-LV"/>
        </w:rPr>
        <w:t xml:space="preserve"> </w:t>
      </w:r>
    </w:p>
    <w:p w:rsidR="00D5633F" w:rsidRPr="00D5633F" w:rsidRDefault="00D5633F" w:rsidP="00D5633F">
      <w:pPr>
        <w:widowControl/>
        <w:jc w:val="center"/>
        <w:rPr>
          <w:rFonts w:ascii="Times New Roman" w:hAnsi="Times New Roman"/>
          <w:sz w:val="24"/>
          <w:szCs w:val="24"/>
          <w:lang w:val="lv-LV"/>
        </w:rPr>
      </w:pPr>
      <w:r w:rsidRPr="00D5633F">
        <w:rPr>
          <w:rFonts w:ascii="Times New Roman" w:hAnsi="Times New Roman"/>
          <w:sz w:val="24"/>
          <w:szCs w:val="24"/>
          <w:lang w:val="lv-LV"/>
        </w:rPr>
        <w:t>„Lektoru pakalpojumi</w:t>
      </w:r>
      <w:r w:rsidRPr="00D5633F">
        <w:rPr>
          <w:rFonts w:ascii="Times New Roman" w:hAnsi="Times New Roman"/>
          <w:sz w:val="24"/>
          <w:szCs w:val="24"/>
          <w:lang w:val="lv-LV"/>
        </w:rPr>
        <w:t>”</w:t>
      </w:r>
    </w:p>
    <w:p w:rsidR="00D5633F" w:rsidRPr="00D5633F" w:rsidRDefault="00D5633F" w:rsidP="00D5633F">
      <w:pPr>
        <w:widowControl/>
        <w:jc w:val="center"/>
        <w:rPr>
          <w:rFonts w:ascii="Times New Roman" w:eastAsiaTheme="minorHAnsi" w:hAnsi="Times New Roman"/>
          <w:sz w:val="24"/>
          <w:szCs w:val="24"/>
          <w:lang w:val="lv-LV" w:eastAsia="lv-LV"/>
        </w:rPr>
      </w:pPr>
      <w:r w:rsidRPr="00D5633F">
        <w:rPr>
          <w:rFonts w:ascii="Times New Roman" w:hAnsi="Times New Roman"/>
          <w:sz w:val="24"/>
          <w:szCs w:val="24"/>
          <w:lang w:val="lv-LV"/>
        </w:rPr>
        <w:t>identifikācijas Nr. </w:t>
      </w:r>
      <w:r w:rsidRPr="00D5633F">
        <w:rPr>
          <w:rFonts w:ascii="Times New Roman" w:hAnsi="Times New Roman"/>
          <w:b/>
          <w:sz w:val="24"/>
          <w:szCs w:val="24"/>
          <w:lang w:val="lv-LV"/>
        </w:rPr>
        <w:t xml:space="preserve"> </w:t>
      </w:r>
      <w:proofErr w:type="spellStart"/>
      <w:r w:rsidRPr="00D5633F">
        <w:rPr>
          <w:rFonts w:ascii="Times New Roman" w:hAnsi="Times New Roman"/>
          <w:sz w:val="24"/>
          <w:szCs w:val="24"/>
          <w:lang w:val="lv-LV"/>
        </w:rPr>
        <w:t>IeVP</w:t>
      </w:r>
      <w:proofErr w:type="spellEnd"/>
      <w:r w:rsidRPr="00D5633F">
        <w:rPr>
          <w:rFonts w:ascii="Times New Roman" w:hAnsi="Times New Roman"/>
          <w:sz w:val="24"/>
          <w:szCs w:val="24"/>
          <w:lang w:val="lv-LV"/>
        </w:rPr>
        <w:t xml:space="preserve"> 2017/47/ESF </w:t>
      </w:r>
    </w:p>
    <w:p w:rsidR="00D5633F" w:rsidRPr="00D5633F" w:rsidRDefault="00D5633F" w:rsidP="00D5633F">
      <w:pPr>
        <w:widowControl/>
        <w:ind w:right="-2" w:firstLine="426"/>
        <w:jc w:val="center"/>
        <w:rPr>
          <w:rFonts w:ascii="Times New Roman" w:eastAsiaTheme="minorHAnsi" w:hAnsi="Times New Roman"/>
          <w:sz w:val="24"/>
          <w:szCs w:val="24"/>
          <w:lang w:val="lv-LV" w:eastAsia="lv-LV"/>
        </w:rPr>
      </w:pPr>
      <w:r w:rsidRPr="00D5633F">
        <w:rPr>
          <w:rFonts w:ascii="Times New Roman" w:eastAsiaTheme="minorHAnsi" w:hAnsi="Times New Roman"/>
          <w:sz w:val="24"/>
          <w:szCs w:val="24"/>
          <w:lang w:val="lv-LV" w:eastAsia="lv-LV"/>
        </w:rPr>
        <w:t>nolikuma</w:t>
      </w:r>
      <w:r w:rsidRPr="00D5633F">
        <w:rPr>
          <w:rFonts w:ascii="Times New Roman" w:eastAsiaTheme="minorHAnsi" w:hAnsi="Times New Roman"/>
          <w:sz w:val="24"/>
          <w:szCs w:val="24"/>
          <w:lang w:val="lv-LV" w:eastAsia="lv-LV"/>
        </w:rPr>
        <w:t xml:space="preserve"> 3.pielikuma "Līguma projekts"</w:t>
      </w:r>
      <w:r w:rsidRPr="00D5633F">
        <w:rPr>
          <w:rFonts w:ascii="Times New Roman" w:eastAsiaTheme="minorHAnsi" w:hAnsi="Times New Roman"/>
          <w:sz w:val="24"/>
          <w:szCs w:val="24"/>
          <w:lang w:val="lv-LV" w:eastAsia="lv-LV"/>
        </w:rPr>
        <w:t xml:space="preserve"> </w:t>
      </w:r>
    </w:p>
    <w:p w:rsidR="00D5633F" w:rsidRPr="00D5633F" w:rsidRDefault="00D5633F" w:rsidP="00D5633F">
      <w:pPr>
        <w:widowControl/>
        <w:ind w:right="-2" w:firstLine="426"/>
        <w:jc w:val="center"/>
        <w:rPr>
          <w:rFonts w:ascii="Times New Roman" w:eastAsiaTheme="minorHAnsi" w:hAnsi="Times New Roman"/>
          <w:b/>
          <w:sz w:val="24"/>
          <w:szCs w:val="24"/>
          <w:u w:val="single"/>
          <w:lang w:val="lv-LV" w:eastAsia="lv-LV"/>
        </w:rPr>
      </w:pPr>
      <w:r w:rsidRPr="00D5633F">
        <w:rPr>
          <w:rFonts w:ascii="Times New Roman" w:eastAsiaTheme="minorHAnsi" w:hAnsi="Times New Roman"/>
          <w:b/>
          <w:sz w:val="24"/>
          <w:szCs w:val="24"/>
          <w:u w:val="single"/>
          <w:lang w:val="lv-LV" w:eastAsia="lv-LV"/>
        </w:rPr>
        <w:t>precizējums</w:t>
      </w:r>
    </w:p>
    <w:p w:rsidR="00D5633F" w:rsidRPr="007363B6" w:rsidRDefault="00D5633F" w:rsidP="00D5633F">
      <w:pPr>
        <w:widowControl/>
        <w:ind w:right="-2" w:firstLine="426"/>
        <w:jc w:val="center"/>
        <w:rPr>
          <w:rFonts w:ascii="Times New Roman" w:eastAsiaTheme="minorHAnsi" w:hAnsi="Times New Roman"/>
          <w:b/>
          <w:sz w:val="24"/>
          <w:szCs w:val="24"/>
          <w:u w:val="single"/>
          <w:lang w:val="lv-LV" w:eastAsia="lv-LV"/>
        </w:rPr>
      </w:pPr>
    </w:p>
    <w:p w:rsidR="00D5633F" w:rsidRPr="00D5633F" w:rsidRDefault="00D5633F" w:rsidP="00D5633F">
      <w:pPr>
        <w:pStyle w:val="ListParagraph"/>
        <w:widowControl/>
        <w:numPr>
          <w:ilvl w:val="2"/>
          <w:numId w:val="2"/>
        </w:numPr>
        <w:tabs>
          <w:tab w:val="left" w:pos="1440"/>
        </w:tabs>
        <w:ind w:left="0" w:firstLine="567"/>
        <w:jc w:val="both"/>
        <w:rPr>
          <w:lang w:val="lv-LV"/>
        </w:rPr>
      </w:pPr>
      <w:r w:rsidRPr="00D5633F">
        <w:rPr>
          <w:strike/>
          <w:lang w:val="lv-LV"/>
        </w:rPr>
        <w:t xml:space="preserve">piedāvātais apakšuzņēmējs atbilst Publisko iepirkumu likuma </w:t>
      </w:r>
      <w:hyperlink r:id="rId5" w:anchor="p39.1" w:tgtFrame="_blank" w:history="1">
        <w:r w:rsidRPr="00D5633F">
          <w:rPr>
            <w:strike/>
            <w:lang w:val="lv-LV"/>
          </w:rPr>
          <w:t>39.</w:t>
        </w:r>
        <w:r w:rsidRPr="00D5633F">
          <w:rPr>
            <w:strike/>
            <w:vertAlign w:val="superscript"/>
            <w:lang w:val="lv-LV"/>
          </w:rPr>
          <w:t>1</w:t>
        </w:r>
        <w:r w:rsidRPr="00D5633F">
          <w:rPr>
            <w:strike/>
            <w:lang w:val="lv-LV"/>
          </w:rPr>
          <w:t> panta</w:t>
        </w:r>
      </w:hyperlink>
      <w:r w:rsidRPr="00D5633F">
        <w:rPr>
          <w:strike/>
          <w:lang w:val="lv-LV"/>
        </w:rPr>
        <w:t xml:space="preserve"> pirmajā daļā minētajiem kandidātu un pretendentu izslēgšanas nosacījumiem. Pārbaudot apakšuzņēmēja atbilstību, Pasūtītājs piemēro Publisko iepirkumu likuma </w:t>
      </w:r>
      <w:hyperlink r:id="rId6" w:anchor="p39.1" w:tgtFrame="_blank" w:history="1">
        <w:r w:rsidRPr="00D5633F">
          <w:rPr>
            <w:strike/>
            <w:lang w:val="lv-LV"/>
          </w:rPr>
          <w:t>39.</w:t>
        </w:r>
        <w:r w:rsidRPr="00D5633F">
          <w:rPr>
            <w:strike/>
            <w:vertAlign w:val="superscript"/>
            <w:lang w:val="lv-LV"/>
          </w:rPr>
          <w:t>1</w:t>
        </w:r>
        <w:r w:rsidRPr="00D5633F">
          <w:rPr>
            <w:strike/>
            <w:lang w:val="lv-LV"/>
          </w:rPr>
          <w:t> panta</w:t>
        </w:r>
      </w:hyperlink>
      <w:r w:rsidRPr="00D5633F">
        <w:rPr>
          <w:strike/>
          <w:lang w:val="lv-LV"/>
        </w:rPr>
        <w:t xml:space="preserve"> noteikumus. Publisko iepirkumu likuma </w:t>
      </w:r>
      <w:hyperlink r:id="rId7" w:anchor="p39.1" w:tgtFrame="_blank" w:history="1">
        <w:r w:rsidRPr="00D5633F">
          <w:rPr>
            <w:strike/>
            <w:lang w:val="lv-LV"/>
          </w:rPr>
          <w:t>39.</w:t>
        </w:r>
        <w:r w:rsidRPr="00D5633F">
          <w:rPr>
            <w:strike/>
            <w:vertAlign w:val="superscript"/>
            <w:lang w:val="lv-LV"/>
          </w:rPr>
          <w:t>1</w:t>
        </w:r>
        <w:r w:rsidRPr="00D5633F">
          <w:rPr>
            <w:strike/>
            <w:lang w:val="lv-LV"/>
          </w:rPr>
          <w:t> panta</w:t>
        </w:r>
      </w:hyperlink>
      <w:r w:rsidRPr="00D5633F">
        <w:rPr>
          <w:strike/>
          <w:lang w:val="lv-LV"/>
        </w:rPr>
        <w:t xml:space="preserve"> otrajā daļā minētos termiņus skaita no dienas, kad lūgums par personāla vai apakšuzņēmēja nomaiņu iesniegts Pasūtītājam</w:t>
      </w:r>
      <w:r w:rsidRPr="00D5633F">
        <w:rPr>
          <w:lang w:val="lv-LV"/>
        </w:rPr>
        <w:t>.</w:t>
      </w:r>
    </w:p>
    <w:p w:rsidR="00D5633F" w:rsidRDefault="00D5633F" w:rsidP="00D5633F">
      <w:pPr>
        <w:pStyle w:val="tv213"/>
        <w:tabs>
          <w:tab w:val="left" w:pos="993"/>
        </w:tabs>
        <w:spacing w:before="0" w:beforeAutospacing="0" w:after="0" w:afterAutospacing="0"/>
        <w:ind w:firstLine="567"/>
        <w:jc w:val="both"/>
      </w:pPr>
      <w:r w:rsidRPr="00D5633F">
        <w:rPr>
          <w:highlight w:val="yellow"/>
        </w:rPr>
        <w:t xml:space="preserve">9.3.3. </w:t>
      </w:r>
      <w:r w:rsidRPr="00D5633F">
        <w:rPr>
          <w:highlight w:val="yellow"/>
        </w:rPr>
        <w:t>piedāvātais apakšuzņēmējs, kura sniedzamo pakalpojumu vērtība ir vismaz 10 (desmit) procenti no kopējās Līguma vērtības, atbilst Iepirkumā minētajiem pre</w:t>
      </w:r>
      <w:r w:rsidRPr="00D5633F">
        <w:rPr>
          <w:highlight w:val="yellow"/>
        </w:rPr>
        <w:t>tendentu izslēgšanas gadījumiem</w:t>
      </w:r>
      <w:r>
        <w:t>.</w:t>
      </w:r>
    </w:p>
    <w:p w:rsidR="00D5633F" w:rsidRDefault="00D5633F" w:rsidP="00D5633F">
      <w:pPr>
        <w:tabs>
          <w:tab w:val="left" w:pos="567"/>
        </w:tabs>
        <w:ind w:firstLine="709"/>
        <w:jc w:val="both"/>
        <w:rPr>
          <w:lang w:val="lv-LV"/>
        </w:rPr>
      </w:pPr>
      <w:r w:rsidRPr="00D5633F">
        <w:rPr>
          <w:lang w:val="lv-LV"/>
        </w:rPr>
        <w:tab/>
      </w:r>
    </w:p>
    <w:p w:rsidR="00D5633F" w:rsidRPr="00284903" w:rsidRDefault="00D5633F" w:rsidP="00D5633F">
      <w:pPr>
        <w:tabs>
          <w:tab w:val="left" w:pos="567"/>
        </w:tabs>
        <w:ind w:firstLine="709"/>
        <w:jc w:val="both"/>
      </w:pPr>
      <w:r w:rsidRPr="00D5633F">
        <w:rPr>
          <w:lang w:val="lv-LV"/>
        </w:rPr>
        <w:t xml:space="preserve">9.4. </w:t>
      </w:r>
      <w:r w:rsidRPr="00D5633F">
        <w:rPr>
          <w:strike/>
          <w:lang w:val="lv-LV"/>
        </w:rPr>
        <w:t xml:space="preserve">Izpildītājs drīkst veikt Publisko iepirkumu likuma </w:t>
      </w:r>
      <w:hyperlink r:id="rId8" w:anchor="p20" w:tgtFrame="_blank" w:history="1">
        <w:r w:rsidRPr="00D5633F">
          <w:rPr>
            <w:strike/>
            <w:lang w:val="lv-LV"/>
          </w:rPr>
          <w:t>20.panta</w:t>
        </w:r>
      </w:hyperlink>
      <w:r w:rsidRPr="00D5633F">
        <w:rPr>
          <w:strike/>
          <w:lang w:val="lv-LV"/>
        </w:rPr>
        <w:t xml:space="preserve"> otrajā daļā minēto apakšuzņēmēju nomaiņu, uz ko neattiecas šā panta otrās daļas noteikumi, kā arī minētajiem kritērijiem atbilstošu apakšuzņēmēju vēlāku iesaistīšanu Līguma izpildē, ja Iepirkuma procedūrā Izpildītājs par to paziņojis Pasūtītājam un, saņēmis Pasūtītāja rakstveida piekrišanu apakšuzņēmēja nomaiņai, vai jauna apakšuzņēmēja iesaistīšanai Līguma izpildē. </w:t>
      </w:r>
      <w:proofErr w:type="spellStart"/>
      <w:r w:rsidRPr="00D5633F">
        <w:rPr>
          <w:strike/>
        </w:rPr>
        <w:t>Pasūtītājs</w:t>
      </w:r>
      <w:proofErr w:type="spellEnd"/>
      <w:r w:rsidRPr="00D5633F">
        <w:rPr>
          <w:strike/>
        </w:rPr>
        <w:t xml:space="preserve"> </w:t>
      </w:r>
      <w:proofErr w:type="spellStart"/>
      <w:r w:rsidRPr="00D5633F">
        <w:rPr>
          <w:strike/>
        </w:rPr>
        <w:t>piekrīt</w:t>
      </w:r>
      <w:proofErr w:type="spellEnd"/>
      <w:r w:rsidRPr="00D5633F">
        <w:rPr>
          <w:strike/>
        </w:rPr>
        <w:t xml:space="preserve"> </w:t>
      </w:r>
      <w:proofErr w:type="spellStart"/>
      <w:r w:rsidRPr="00D5633F">
        <w:rPr>
          <w:strike/>
        </w:rPr>
        <w:t>apakšuzņēmēja</w:t>
      </w:r>
      <w:proofErr w:type="spellEnd"/>
      <w:r w:rsidRPr="00D5633F">
        <w:rPr>
          <w:strike/>
        </w:rPr>
        <w:t xml:space="preserve"> </w:t>
      </w:r>
      <w:proofErr w:type="spellStart"/>
      <w:r w:rsidRPr="00D5633F">
        <w:rPr>
          <w:strike/>
        </w:rPr>
        <w:t>nomaiņai</w:t>
      </w:r>
      <w:proofErr w:type="spellEnd"/>
      <w:r w:rsidRPr="00D5633F">
        <w:rPr>
          <w:strike/>
        </w:rPr>
        <w:t xml:space="preserve"> </w:t>
      </w:r>
      <w:proofErr w:type="spellStart"/>
      <w:r w:rsidRPr="00D5633F">
        <w:rPr>
          <w:strike/>
        </w:rPr>
        <w:t>vai</w:t>
      </w:r>
      <w:proofErr w:type="spellEnd"/>
      <w:r w:rsidRPr="00D5633F">
        <w:rPr>
          <w:strike/>
        </w:rPr>
        <w:t xml:space="preserve"> </w:t>
      </w:r>
      <w:proofErr w:type="spellStart"/>
      <w:r w:rsidRPr="00D5633F">
        <w:rPr>
          <w:strike/>
        </w:rPr>
        <w:t>jauna</w:t>
      </w:r>
      <w:proofErr w:type="spellEnd"/>
      <w:r w:rsidRPr="00D5633F">
        <w:rPr>
          <w:strike/>
        </w:rPr>
        <w:t xml:space="preserve"> </w:t>
      </w:r>
      <w:proofErr w:type="spellStart"/>
      <w:r w:rsidRPr="00D5633F">
        <w:rPr>
          <w:strike/>
        </w:rPr>
        <w:t>apakšuzņēmēja</w:t>
      </w:r>
      <w:proofErr w:type="spellEnd"/>
      <w:r w:rsidRPr="00D5633F">
        <w:rPr>
          <w:strike/>
        </w:rPr>
        <w:t xml:space="preserve"> </w:t>
      </w:r>
      <w:proofErr w:type="spellStart"/>
      <w:r w:rsidRPr="00D5633F">
        <w:rPr>
          <w:strike/>
        </w:rPr>
        <w:t>iesaistīšanai</w:t>
      </w:r>
      <w:proofErr w:type="spellEnd"/>
      <w:r w:rsidRPr="00D5633F">
        <w:rPr>
          <w:strike/>
        </w:rPr>
        <w:t xml:space="preserve"> </w:t>
      </w:r>
      <w:proofErr w:type="spellStart"/>
      <w:r w:rsidRPr="00D5633F">
        <w:rPr>
          <w:strike/>
        </w:rPr>
        <w:t>Līguma</w:t>
      </w:r>
      <w:proofErr w:type="spellEnd"/>
      <w:r w:rsidRPr="00D5633F">
        <w:rPr>
          <w:strike/>
        </w:rPr>
        <w:t xml:space="preserve"> </w:t>
      </w:r>
      <w:proofErr w:type="spellStart"/>
      <w:r w:rsidRPr="00D5633F">
        <w:rPr>
          <w:strike/>
        </w:rPr>
        <w:t>izpildē</w:t>
      </w:r>
      <w:proofErr w:type="spellEnd"/>
      <w:r w:rsidRPr="00D5633F">
        <w:rPr>
          <w:strike/>
        </w:rPr>
        <w:t xml:space="preserve">, </w:t>
      </w:r>
      <w:proofErr w:type="gramStart"/>
      <w:r w:rsidRPr="00D5633F">
        <w:rPr>
          <w:strike/>
        </w:rPr>
        <w:t>ja</w:t>
      </w:r>
      <w:proofErr w:type="gramEnd"/>
      <w:r w:rsidRPr="00D5633F">
        <w:rPr>
          <w:strike/>
        </w:rPr>
        <w:t xml:space="preserve"> </w:t>
      </w:r>
      <w:proofErr w:type="spellStart"/>
      <w:r w:rsidRPr="00D5633F">
        <w:rPr>
          <w:strike/>
        </w:rPr>
        <w:t>uz</w:t>
      </w:r>
      <w:proofErr w:type="spellEnd"/>
      <w:r w:rsidRPr="00D5633F">
        <w:rPr>
          <w:strike/>
        </w:rPr>
        <w:t xml:space="preserve"> </w:t>
      </w:r>
      <w:proofErr w:type="spellStart"/>
      <w:r w:rsidRPr="00D5633F">
        <w:rPr>
          <w:strike/>
        </w:rPr>
        <w:t>piedāvāto</w:t>
      </w:r>
      <w:proofErr w:type="spellEnd"/>
      <w:r w:rsidRPr="00D5633F">
        <w:rPr>
          <w:strike/>
        </w:rPr>
        <w:t xml:space="preserve"> </w:t>
      </w:r>
      <w:proofErr w:type="spellStart"/>
      <w:r w:rsidRPr="00D5633F">
        <w:rPr>
          <w:strike/>
        </w:rPr>
        <w:t>apakšuzņēmēju</w:t>
      </w:r>
      <w:proofErr w:type="spellEnd"/>
      <w:r w:rsidRPr="00D5633F">
        <w:rPr>
          <w:strike/>
        </w:rPr>
        <w:t xml:space="preserve"> </w:t>
      </w:r>
      <w:proofErr w:type="spellStart"/>
      <w:r w:rsidRPr="00D5633F">
        <w:rPr>
          <w:strike/>
        </w:rPr>
        <w:t>neattiecas</w:t>
      </w:r>
      <w:proofErr w:type="spellEnd"/>
      <w:r w:rsidRPr="00D5633F">
        <w:rPr>
          <w:strike/>
        </w:rPr>
        <w:t xml:space="preserve"> </w:t>
      </w:r>
      <w:proofErr w:type="spellStart"/>
      <w:r w:rsidRPr="00D5633F">
        <w:rPr>
          <w:strike/>
        </w:rPr>
        <w:t>Publisko</w:t>
      </w:r>
      <w:proofErr w:type="spellEnd"/>
      <w:r w:rsidRPr="00D5633F">
        <w:rPr>
          <w:strike/>
        </w:rPr>
        <w:t xml:space="preserve"> </w:t>
      </w:r>
      <w:proofErr w:type="spellStart"/>
      <w:r w:rsidRPr="00D5633F">
        <w:rPr>
          <w:strike/>
        </w:rPr>
        <w:t>iepirkumu</w:t>
      </w:r>
      <w:proofErr w:type="spellEnd"/>
      <w:r w:rsidRPr="00D5633F">
        <w:rPr>
          <w:strike/>
        </w:rPr>
        <w:t xml:space="preserve"> </w:t>
      </w:r>
      <w:proofErr w:type="spellStart"/>
      <w:r w:rsidRPr="00D5633F">
        <w:rPr>
          <w:strike/>
        </w:rPr>
        <w:t>likuma</w:t>
      </w:r>
      <w:proofErr w:type="spellEnd"/>
      <w:r w:rsidRPr="00D5633F">
        <w:rPr>
          <w:strike/>
        </w:rPr>
        <w:t xml:space="preserve"> </w:t>
      </w:r>
      <w:hyperlink r:id="rId9" w:anchor="p39.1" w:tgtFrame="_blank" w:history="1">
        <w:r w:rsidRPr="00D5633F">
          <w:rPr>
            <w:strike/>
          </w:rPr>
          <w:t>39.</w:t>
        </w:r>
        <w:r w:rsidRPr="00D5633F">
          <w:rPr>
            <w:strike/>
            <w:vertAlign w:val="superscript"/>
          </w:rPr>
          <w:t>1</w:t>
        </w:r>
        <w:r w:rsidRPr="00D5633F">
          <w:rPr>
            <w:strike/>
          </w:rPr>
          <w:t> </w:t>
        </w:r>
        <w:proofErr w:type="spellStart"/>
        <w:r w:rsidRPr="00D5633F">
          <w:rPr>
            <w:strike/>
          </w:rPr>
          <w:t>panta</w:t>
        </w:r>
        <w:proofErr w:type="spellEnd"/>
      </w:hyperlink>
      <w:r w:rsidRPr="00D5633F">
        <w:rPr>
          <w:strike/>
        </w:rPr>
        <w:t xml:space="preserve"> </w:t>
      </w:r>
      <w:proofErr w:type="spellStart"/>
      <w:r w:rsidRPr="00D5633F">
        <w:rPr>
          <w:strike/>
        </w:rPr>
        <w:t>pirmajā</w:t>
      </w:r>
      <w:proofErr w:type="spellEnd"/>
      <w:r w:rsidRPr="00D5633F">
        <w:rPr>
          <w:strike/>
        </w:rPr>
        <w:t xml:space="preserve"> </w:t>
      </w:r>
      <w:proofErr w:type="spellStart"/>
      <w:r w:rsidRPr="00D5633F">
        <w:rPr>
          <w:strike/>
        </w:rPr>
        <w:t>daļā</w:t>
      </w:r>
      <w:proofErr w:type="spellEnd"/>
      <w:r w:rsidRPr="00D5633F">
        <w:rPr>
          <w:strike/>
        </w:rPr>
        <w:t xml:space="preserve"> </w:t>
      </w:r>
      <w:proofErr w:type="spellStart"/>
      <w:r w:rsidRPr="00D5633F">
        <w:rPr>
          <w:strike/>
        </w:rPr>
        <w:t>minētie</w:t>
      </w:r>
      <w:proofErr w:type="spellEnd"/>
      <w:r w:rsidRPr="00D5633F">
        <w:rPr>
          <w:strike/>
        </w:rPr>
        <w:t xml:space="preserve"> </w:t>
      </w:r>
      <w:proofErr w:type="spellStart"/>
      <w:r w:rsidRPr="00D5633F">
        <w:rPr>
          <w:strike/>
        </w:rPr>
        <w:t>kandidātu</w:t>
      </w:r>
      <w:proofErr w:type="spellEnd"/>
      <w:r w:rsidRPr="00D5633F">
        <w:rPr>
          <w:strike/>
        </w:rPr>
        <w:t xml:space="preserve"> un </w:t>
      </w:r>
      <w:proofErr w:type="spellStart"/>
      <w:r w:rsidRPr="00D5633F">
        <w:rPr>
          <w:strike/>
        </w:rPr>
        <w:t>pretendentu</w:t>
      </w:r>
      <w:proofErr w:type="spellEnd"/>
      <w:r w:rsidRPr="00D5633F">
        <w:rPr>
          <w:strike/>
        </w:rPr>
        <w:t xml:space="preserve"> </w:t>
      </w:r>
      <w:proofErr w:type="spellStart"/>
      <w:r w:rsidRPr="00D5633F">
        <w:rPr>
          <w:strike/>
        </w:rPr>
        <w:t>izslēgšanas</w:t>
      </w:r>
      <w:proofErr w:type="spellEnd"/>
      <w:r w:rsidRPr="00D5633F">
        <w:rPr>
          <w:strike/>
        </w:rPr>
        <w:t xml:space="preserve"> </w:t>
      </w:r>
      <w:proofErr w:type="spellStart"/>
      <w:r w:rsidRPr="00D5633F">
        <w:rPr>
          <w:strike/>
        </w:rPr>
        <w:t>nosacījumi</w:t>
      </w:r>
      <w:proofErr w:type="spellEnd"/>
      <w:r w:rsidRPr="00D5633F">
        <w:rPr>
          <w:strike/>
        </w:rPr>
        <w:t xml:space="preserve">, </w:t>
      </w:r>
      <w:proofErr w:type="spellStart"/>
      <w:r w:rsidRPr="00D5633F">
        <w:rPr>
          <w:strike/>
        </w:rPr>
        <w:t>ko</w:t>
      </w:r>
      <w:proofErr w:type="spellEnd"/>
      <w:r w:rsidRPr="00D5633F">
        <w:rPr>
          <w:strike/>
        </w:rPr>
        <w:t xml:space="preserve"> </w:t>
      </w:r>
      <w:proofErr w:type="spellStart"/>
      <w:r w:rsidRPr="00D5633F">
        <w:rPr>
          <w:strike/>
        </w:rPr>
        <w:t>Pasūtītājs</w:t>
      </w:r>
      <w:proofErr w:type="spellEnd"/>
      <w:r w:rsidRPr="00D5633F">
        <w:rPr>
          <w:strike/>
        </w:rPr>
        <w:t xml:space="preserve"> </w:t>
      </w:r>
      <w:proofErr w:type="spellStart"/>
      <w:r w:rsidRPr="00D5633F">
        <w:rPr>
          <w:strike/>
        </w:rPr>
        <w:t>pārbauda</w:t>
      </w:r>
      <w:proofErr w:type="spellEnd"/>
      <w:r w:rsidRPr="00D5633F">
        <w:rPr>
          <w:strike/>
        </w:rPr>
        <w:t xml:space="preserve">, </w:t>
      </w:r>
      <w:proofErr w:type="spellStart"/>
      <w:r w:rsidRPr="00D5633F">
        <w:rPr>
          <w:strike/>
        </w:rPr>
        <w:t>ievērojot</w:t>
      </w:r>
      <w:proofErr w:type="spellEnd"/>
      <w:r w:rsidRPr="00D5633F">
        <w:rPr>
          <w:strike/>
        </w:rPr>
        <w:t xml:space="preserve"> </w:t>
      </w:r>
      <w:proofErr w:type="spellStart"/>
      <w:r w:rsidRPr="00D5633F">
        <w:rPr>
          <w:strike/>
        </w:rPr>
        <w:t>šā</w:t>
      </w:r>
      <w:proofErr w:type="spellEnd"/>
      <w:r w:rsidRPr="00D5633F">
        <w:rPr>
          <w:strike/>
        </w:rPr>
        <w:t xml:space="preserve"> </w:t>
      </w:r>
      <w:proofErr w:type="spellStart"/>
      <w:r w:rsidRPr="00D5633F">
        <w:rPr>
          <w:strike/>
        </w:rPr>
        <w:t>panta</w:t>
      </w:r>
      <w:proofErr w:type="spellEnd"/>
      <w:r w:rsidRPr="00D5633F">
        <w:rPr>
          <w:strike/>
        </w:rPr>
        <w:t xml:space="preserve"> </w:t>
      </w:r>
      <w:proofErr w:type="spellStart"/>
      <w:r w:rsidRPr="00D5633F">
        <w:rPr>
          <w:strike/>
        </w:rPr>
        <w:t>trešās</w:t>
      </w:r>
      <w:proofErr w:type="spellEnd"/>
      <w:r w:rsidRPr="00D5633F">
        <w:rPr>
          <w:strike/>
        </w:rPr>
        <w:t xml:space="preserve"> </w:t>
      </w:r>
      <w:proofErr w:type="spellStart"/>
      <w:r w:rsidRPr="00D5633F">
        <w:rPr>
          <w:strike/>
        </w:rPr>
        <w:t>daļas</w:t>
      </w:r>
      <w:proofErr w:type="spellEnd"/>
      <w:r w:rsidRPr="00D5633F">
        <w:rPr>
          <w:strike/>
        </w:rPr>
        <w:t xml:space="preserve"> 3.punkta </w:t>
      </w:r>
      <w:proofErr w:type="spellStart"/>
      <w:r w:rsidRPr="00D5633F">
        <w:rPr>
          <w:strike/>
        </w:rPr>
        <w:t>noteikumus</w:t>
      </w:r>
      <w:proofErr w:type="spellEnd"/>
      <w:r w:rsidRPr="00D5633F">
        <w:rPr>
          <w:strike/>
        </w:rPr>
        <w:t>.</w:t>
      </w:r>
    </w:p>
    <w:p w:rsidR="00D5633F" w:rsidRPr="00D5633F" w:rsidRDefault="00D5633F" w:rsidP="00D5633F">
      <w:pPr>
        <w:pStyle w:val="tv213"/>
        <w:tabs>
          <w:tab w:val="left" w:pos="993"/>
        </w:tabs>
        <w:spacing w:before="0" w:beforeAutospacing="0" w:after="0" w:afterAutospacing="0"/>
        <w:ind w:firstLine="567"/>
        <w:jc w:val="both"/>
        <w:rPr>
          <w:lang w:val="en-US"/>
        </w:rPr>
      </w:pPr>
    </w:p>
    <w:p w:rsidR="00D5633F" w:rsidRDefault="00D5633F" w:rsidP="00D5633F">
      <w:pPr>
        <w:pStyle w:val="tv213"/>
        <w:spacing w:before="0" w:beforeAutospacing="0" w:after="0" w:afterAutospacing="0"/>
        <w:ind w:firstLine="709"/>
        <w:jc w:val="both"/>
        <w:rPr>
          <w:highlight w:val="yellow"/>
        </w:rPr>
      </w:pPr>
      <w:r w:rsidRPr="00D5633F">
        <w:rPr>
          <w:highlight w:val="yellow"/>
          <w:lang w:val="en-US"/>
        </w:rPr>
        <w:t xml:space="preserve">9.4. </w:t>
      </w:r>
      <w:r w:rsidRPr="00D5633F">
        <w:rPr>
          <w:highlight w:val="yellow"/>
        </w:rPr>
        <w:t xml:space="preserve">Pasūtītājs nepiekrīt jauna apakšuzņēmēja piesaistei gadījumā, kad šādas izmaiņas, </w:t>
      </w:r>
      <w:proofErr w:type="gramStart"/>
      <w:r w:rsidRPr="00D5633F">
        <w:rPr>
          <w:highlight w:val="yellow"/>
        </w:rPr>
        <w:t>ja</w:t>
      </w:r>
      <w:proofErr w:type="gramEnd"/>
      <w:r w:rsidRPr="00D5633F">
        <w:rPr>
          <w:highlight w:val="yellow"/>
        </w:rPr>
        <w:t xml:space="preserve"> tās tiktu veiktas iesniedzot piedāvājumu Iepirkumam, būtu ietekmējušas piedāvājuma izvēli atbilstoši Iepirkuma dokumentos noteiktajiem piedā</w:t>
      </w:r>
      <w:r>
        <w:rPr>
          <w:highlight w:val="yellow"/>
        </w:rPr>
        <w:t>vājuma izvērtēšanas kritērijiem.</w:t>
      </w:r>
    </w:p>
    <w:p w:rsidR="00D5633F" w:rsidRDefault="00D5633F" w:rsidP="00D5633F">
      <w:pPr>
        <w:pStyle w:val="tv213"/>
        <w:spacing w:before="0" w:beforeAutospacing="0" w:after="0" w:afterAutospacing="0"/>
        <w:jc w:val="both"/>
      </w:pPr>
    </w:p>
    <w:p w:rsidR="00D5633F" w:rsidRPr="00FF65C8" w:rsidRDefault="00D5633F" w:rsidP="00D5633F">
      <w:pPr>
        <w:pStyle w:val="BodyTextIndent2"/>
        <w:spacing w:line="240" w:lineRule="auto"/>
        <w:ind w:left="0" w:firstLine="720"/>
        <w:jc w:val="center"/>
      </w:pPr>
      <w:r>
        <w:rPr>
          <w:b/>
        </w:rPr>
        <w:t>1</w:t>
      </w:r>
      <w:r>
        <w:rPr>
          <w:b/>
          <w:lang w:val="lv-LV"/>
        </w:rPr>
        <w:t>3</w:t>
      </w:r>
      <w:r w:rsidRPr="0067642B">
        <w:rPr>
          <w:b/>
        </w:rPr>
        <w:t xml:space="preserve">. </w:t>
      </w:r>
      <w:proofErr w:type="spellStart"/>
      <w:r w:rsidRPr="0067642B">
        <w:rPr>
          <w:b/>
        </w:rPr>
        <w:t>Pušu</w:t>
      </w:r>
      <w:proofErr w:type="spellEnd"/>
      <w:r w:rsidRPr="0067642B">
        <w:rPr>
          <w:b/>
        </w:rPr>
        <w:t xml:space="preserve"> </w:t>
      </w:r>
      <w:proofErr w:type="spellStart"/>
      <w:r w:rsidRPr="0067642B">
        <w:rPr>
          <w:b/>
        </w:rPr>
        <w:t>rekvizīti</w:t>
      </w:r>
      <w:proofErr w:type="spellEnd"/>
      <w:r w:rsidRPr="0067642B">
        <w:rPr>
          <w:b/>
        </w:rPr>
        <w:t xml:space="preserve"> un </w:t>
      </w:r>
      <w:proofErr w:type="spellStart"/>
      <w:r w:rsidRPr="0067642B">
        <w:rPr>
          <w:b/>
        </w:rPr>
        <w:t>paraksti</w:t>
      </w:r>
      <w:proofErr w:type="spellEnd"/>
    </w:p>
    <w:tbl>
      <w:tblPr>
        <w:tblpPr w:leftFromText="180" w:rightFromText="180" w:vertAnchor="text" w:horzAnchor="margin" w:tblpY="142"/>
        <w:tblW w:w="9340" w:type="dxa"/>
        <w:tblLook w:val="0000" w:firstRow="0" w:lastRow="0" w:firstColumn="0" w:lastColumn="0" w:noHBand="0" w:noVBand="0"/>
      </w:tblPr>
      <w:tblGrid>
        <w:gridCol w:w="4395"/>
        <w:gridCol w:w="4945"/>
      </w:tblGrid>
      <w:tr w:rsidR="00D5633F" w:rsidRPr="00D5633F" w:rsidTr="00D5633F">
        <w:tblPrEx>
          <w:tblCellMar>
            <w:top w:w="0" w:type="dxa"/>
            <w:bottom w:w="0" w:type="dxa"/>
          </w:tblCellMar>
        </w:tblPrEx>
        <w:trPr>
          <w:trHeight w:val="111"/>
        </w:trPr>
        <w:tc>
          <w:tcPr>
            <w:tcW w:w="4395" w:type="dxa"/>
          </w:tcPr>
          <w:p w:rsidR="00D5633F" w:rsidRPr="00D5633F" w:rsidRDefault="00D5633F" w:rsidP="00253025">
            <w:pPr>
              <w:rPr>
                <w:rFonts w:ascii="Times New Roman" w:hAnsi="Times New Roman"/>
                <w:sz w:val="24"/>
                <w:szCs w:val="24"/>
              </w:rPr>
            </w:pPr>
            <w:proofErr w:type="spellStart"/>
            <w:r w:rsidRPr="00D5633F">
              <w:rPr>
                <w:rFonts w:ascii="Times New Roman" w:hAnsi="Times New Roman"/>
                <w:sz w:val="24"/>
                <w:szCs w:val="24"/>
              </w:rPr>
              <w:t>Pasūtītājs</w:t>
            </w:r>
            <w:proofErr w:type="spellEnd"/>
            <w:r w:rsidRPr="00D5633F">
              <w:rPr>
                <w:rFonts w:ascii="Times New Roman" w:hAnsi="Times New Roman"/>
                <w:sz w:val="24"/>
                <w:szCs w:val="24"/>
              </w:rPr>
              <w:t>:</w:t>
            </w:r>
          </w:p>
        </w:tc>
        <w:tc>
          <w:tcPr>
            <w:tcW w:w="4945" w:type="dxa"/>
          </w:tcPr>
          <w:p w:rsidR="00D5633F" w:rsidRPr="00D5633F" w:rsidRDefault="00D5633F" w:rsidP="00253025">
            <w:pPr>
              <w:rPr>
                <w:rFonts w:ascii="Times New Roman" w:hAnsi="Times New Roman"/>
                <w:sz w:val="24"/>
                <w:szCs w:val="24"/>
              </w:rPr>
            </w:pPr>
            <w:proofErr w:type="spellStart"/>
            <w:r w:rsidRPr="00D5633F">
              <w:rPr>
                <w:rFonts w:ascii="Times New Roman" w:hAnsi="Times New Roman"/>
                <w:sz w:val="24"/>
                <w:szCs w:val="24"/>
              </w:rPr>
              <w:t>Izpildītājs</w:t>
            </w:r>
            <w:proofErr w:type="spellEnd"/>
            <w:r w:rsidRPr="00D5633F">
              <w:rPr>
                <w:rFonts w:ascii="Times New Roman" w:hAnsi="Times New Roman"/>
                <w:sz w:val="24"/>
                <w:szCs w:val="24"/>
              </w:rPr>
              <w:t>:</w:t>
            </w:r>
          </w:p>
        </w:tc>
      </w:tr>
      <w:tr w:rsidR="00D5633F" w:rsidRPr="00D5633F" w:rsidTr="00D5633F">
        <w:tblPrEx>
          <w:tblCellMar>
            <w:top w:w="0" w:type="dxa"/>
            <w:bottom w:w="0" w:type="dxa"/>
          </w:tblCellMar>
        </w:tblPrEx>
        <w:trPr>
          <w:trHeight w:val="111"/>
        </w:trPr>
        <w:tc>
          <w:tcPr>
            <w:tcW w:w="4395" w:type="dxa"/>
          </w:tcPr>
          <w:p w:rsidR="00D5633F" w:rsidRPr="00D5633F" w:rsidRDefault="00D5633F" w:rsidP="00253025">
            <w:pPr>
              <w:jc w:val="both"/>
              <w:rPr>
                <w:rFonts w:ascii="Times New Roman" w:hAnsi="Times New Roman"/>
                <w:b/>
                <w:sz w:val="24"/>
                <w:szCs w:val="24"/>
              </w:rPr>
            </w:pPr>
            <w:proofErr w:type="spellStart"/>
            <w:r w:rsidRPr="00D5633F">
              <w:rPr>
                <w:rFonts w:ascii="Times New Roman" w:hAnsi="Times New Roman"/>
                <w:b/>
                <w:sz w:val="24"/>
                <w:szCs w:val="24"/>
              </w:rPr>
              <w:t>Ieslodzījuma</w:t>
            </w:r>
            <w:proofErr w:type="spellEnd"/>
            <w:r w:rsidRPr="00D5633F">
              <w:rPr>
                <w:rFonts w:ascii="Times New Roman" w:hAnsi="Times New Roman"/>
                <w:b/>
                <w:sz w:val="24"/>
                <w:szCs w:val="24"/>
              </w:rPr>
              <w:t xml:space="preserve"> </w:t>
            </w:r>
            <w:proofErr w:type="spellStart"/>
            <w:r w:rsidRPr="00D5633F">
              <w:rPr>
                <w:rFonts w:ascii="Times New Roman" w:hAnsi="Times New Roman"/>
                <w:b/>
                <w:sz w:val="24"/>
                <w:szCs w:val="24"/>
              </w:rPr>
              <w:t>vietu</w:t>
            </w:r>
            <w:proofErr w:type="spellEnd"/>
            <w:r w:rsidRPr="00D5633F">
              <w:rPr>
                <w:rFonts w:ascii="Times New Roman" w:hAnsi="Times New Roman"/>
                <w:b/>
                <w:sz w:val="24"/>
                <w:szCs w:val="24"/>
              </w:rPr>
              <w:t xml:space="preserve"> </w:t>
            </w:r>
            <w:proofErr w:type="spellStart"/>
            <w:r w:rsidRPr="00D5633F">
              <w:rPr>
                <w:rFonts w:ascii="Times New Roman" w:hAnsi="Times New Roman"/>
                <w:b/>
                <w:sz w:val="24"/>
                <w:szCs w:val="24"/>
              </w:rPr>
              <w:t>pārvalde</w:t>
            </w:r>
            <w:proofErr w:type="spellEnd"/>
            <w:r w:rsidRPr="00D5633F">
              <w:rPr>
                <w:rFonts w:ascii="Times New Roman" w:hAnsi="Times New Roman"/>
                <w:b/>
                <w:sz w:val="24"/>
                <w:szCs w:val="24"/>
              </w:rPr>
              <w:tab/>
            </w:r>
          </w:p>
        </w:tc>
        <w:tc>
          <w:tcPr>
            <w:tcW w:w="4945" w:type="dxa"/>
          </w:tcPr>
          <w:p w:rsidR="00D5633F" w:rsidRPr="00D5633F" w:rsidRDefault="00D5633F" w:rsidP="00253025">
            <w:pPr>
              <w:rPr>
                <w:rFonts w:ascii="Times New Roman" w:hAnsi="Times New Roman"/>
                <w:b/>
                <w:sz w:val="24"/>
                <w:szCs w:val="24"/>
              </w:rPr>
            </w:pPr>
          </w:p>
        </w:tc>
      </w:tr>
      <w:tr w:rsidR="00D5633F" w:rsidRPr="00D5633F" w:rsidTr="00D5633F">
        <w:tblPrEx>
          <w:tblCellMar>
            <w:top w:w="0" w:type="dxa"/>
            <w:bottom w:w="0" w:type="dxa"/>
          </w:tblCellMar>
        </w:tblPrEx>
        <w:trPr>
          <w:trHeight w:val="552"/>
        </w:trPr>
        <w:tc>
          <w:tcPr>
            <w:tcW w:w="4395" w:type="dxa"/>
          </w:tcPr>
          <w:p w:rsidR="00D5633F" w:rsidRPr="00D5633F" w:rsidRDefault="00D5633F" w:rsidP="00253025">
            <w:pPr>
              <w:jc w:val="both"/>
              <w:rPr>
                <w:rFonts w:ascii="Times New Roman" w:hAnsi="Times New Roman"/>
                <w:sz w:val="24"/>
                <w:szCs w:val="24"/>
              </w:rPr>
            </w:pPr>
            <w:proofErr w:type="spellStart"/>
            <w:r w:rsidRPr="00D5633F">
              <w:rPr>
                <w:rFonts w:ascii="Times New Roman" w:hAnsi="Times New Roman"/>
                <w:sz w:val="24"/>
                <w:szCs w:val="24"/>
              </w:rPr>
              <w:t>Reģistrācijas</w:t>
            </w:r>
            <w:proofErr w:type="spellEnd"/>
            <w:r w:rsidRPr="00D5633F">
              <w:rPr>
                <w:rFonts w:ascii="Times New Roman" w:hAnsi="Times New Roman"/>
                <w:sz w:val="24"/>
                <w:szCs w:val="24"/>
              </w:rPr>
              <w:t xml:space="preserve"> Nr.90000027165</w:t>
            </w:r>
          </w:p>
          <w:p w:rsidR="00D5633F" w:rsidRDefault="00D5633F" w:rsidP="00253025">
            <w:pPr>
              <w:jc w:val="both"/>
              <w:rPr>
                <w:rFonts w:ascii="Times New Roman" w:hAnsi="Times New Roman"/>
                <w:strike/>
                <w:sz w:val="24"/>
                <w:szCs w:val="24"/>
              </w:rPr>
            </w:pPr>
            <w:r w:rsidRPr="00D5633F">
              <w:rPr>
                <w:rFonts w:ascii="Times New Roman" w:hAnsi="Times New Roman"/>
                <w:strike/>
                <w:sz w:val="24"/>
                <w:szCs w:val="24"/>
              </w:rPr>
              <w:t xml:space="preserve">NFI </w:t>
            </w:r>
            <w:proofErr w:type="spellStart"/>
            <w:r w:rsidRPr="00D5633F">
              <w:rPr>
                <w:rFonts w:ascii="Times New Roman" w:hAnsi="Times New Roman"/>
                <w:strike/>
                <w:sz w:val="24"/>
                <w:szCs w:val="24"/>
              </w:rPr>
              <w:t>Projekts</w:t>
            </w:r>
            <w:proofErr w:type="spellEnd"/>
            <w:r w:rsidRPr="00D5633F">
              <w:rPr>
                <w:rFonts w:ascii="Times New Roman" w:hAnsi="Times New Roman"/>
                <w:strike/>
                <w:sz w:val="24"/>
                <w:szCs w:val="24"/>
              </w:rPr>
              <w:t xml:space="preserve"> </w:t>
            </w:r>
            <w:proofErr w:type="spellStart"/>
            <w:r w:rsidRPr="00D5633F">
              <w:rPr>
                <w:rFonts w:ascii="Times New Roman" w:hAnsi="Times New Roman"/>
                <w:strike/>
                <w:sz w:val="24"/>
                <w:szCs w:val="24"/>
              </w:rPr>
              <w:t>Nr</w:t>
            </w:r>
            <w:proofErr w:type="spellEnd"/>
            <w:r w:rsidRPr="00D5633F">
              <w:rPr>
                <w:rFonts w:ascii="Times New Roman" w:hAnsi="Times New Roman"/>
                <w:strike/>
                <w:sz w:val="24"/>
                <w:szCs w:val="24"/>
              </w:rPr>
              <w:t>. LV08/2</w:t>
            </w:r>
          </w:p>
          <w:p w:rsidR="00D5633F" w:rsidRPr="00D5633F" w:rsidRDefault="00D5633F" w:rsidP="00253025">
            <w:pPr>
              <w:jc w:val="both"/>
              <w:rPr>
                <w:rFonts w:ascii="Times New Roman" w:hAnsi="Times New Roman"/>
                <w:strike/>
                <w:sz w:val="24"/>
                <w:szCs w:val="24"/>
              </w:rPr>
            </w:pPr>
            <w:r w:rsidRPr="00D5633F">
              <w:rPr>
                <w:rFonts w:ascii="Times New Roman" w:hAnsi="Times New Roman"/>
                <w:sz w:val="24"/>
                <w:szCs w:val="24"/>
                <w:highlight w:val="yellow"/>
                <w:lang w:val="lv-LV"/>
              </w:rPr>
              <w:t>ESF projekts Nr.9.1.3.0/16/I/001 "</w:t>
            </w:r>
            <w:proofErr w:type="spellStart"/>
            <w:r w:rsidRPr="00D5633F">
              <w:rPr>
                <w:rFonts w:ascii="Times New Roman" w:hAnsi="Times New Roman"/>
                <w:sz w:val="24"/>
                <w:szCs w:val="24"/>
                <w:highlight w:val="yellow"/>
                <w:lang w:val="lv-LV"/>
              </w:rPr>
              <w:t>Resocializācijas</w:t>
            </w:r>
            <w:proofErr w:type="spellEnd"/>
            <w:r w:rsidRPr="00D5633F">
              <w:rPr>
                <w:rFonts w:ascii="Times New Roman" w:hAnsi="Times New Roman"/>
                <w:sz w:val="24"/>
                <w:szCs w:val="24"/>
                <w:highlight w:val="yellow"/>
                <w:lang w:val="lv-LV"/>
              </w:rPr>
              <w:t xml:space="preserve"> sistēmas efektivitātes paaugstināšana</w:t>
            </w:r>
            <w:r>
              <w:rPr>
                <w:rFonts w:ascii="Times New Roman" w:hAnsi="Times New Roman"/>
                <w:sz w:val="24"/>
                <w:szCs w:val="24"/>
                <w:lang w:val="lv-LV"/>
              </w:rPr>
              <w:t>"</w:t>
            </w:r>
          </w:p>
          <w:p w:rsidR="00D5633F" w:rsidRPr="00D5633F" w:rsidRDefault="00D5633F" w:rsidP="00253025">
            <w:pPr>
              <w:jc w:val="both"/>
              <w:rPr>
                <w:rFonts w:ascii="Times New Roman" w:hAnsi="Times New Roman"/>
                <w:sz w:val="24"/>
                <w:szCs w:val="24"/>
              </w:rPr>
            </w:pPr>
            <w:proofErr w:type="spellStart"/>
            <w:r w:rsidRPr="00D5633F">
              <w:rPr>
                <w:rFonts w:ascii="Times New Roman" w:hAnsi="Times New Roman"/>
                <w:sz w:val="24"/>
                <w:szCs w:val="24"/>
              </w:rPr>
              <w:t>Juridiskā</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adrese</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Stabu</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iela</w:t>
            </w:r>
            <w:proofErr w:type="spellEnd"/>
            <w:r w:rsidRPr="00D5633F">
              <w:rPr>
                <w:rFonts w:ascii="Times New Roman" w:hAnsi="Times New Roman"/>
                <w:sz w:val="24"/>
                <w:szCs w:val="24"/>
              </w:rPr>
              <w:t xml:space="preserve"> 89, </w:t>
            </w:r>
            <w:proofErr w:type="spellStart"/>
            <w:r w:rsidRPr="00D5633F">
              <w:rPr>
                <w:rFonts w:ascii="Times New Roman" w:hAnsi="Times New Roman"/>
                <w:sz w:val="24"/>
                <w:szCs w:val="24"/>
              </w:rPr>
              <w:t>Rīga</w:t>
            </w:r>
            <w:proofErr w:type="spellEnd"/>
            <w:r w:rsidRPr="00D5633F">
              <w:rPr>
                <w:rFonts w:ascii="Times New Roman" w:hAnsi="Times New Roman"/>
                <w:sz w:val="24"/>
                <w:szCs w:val="24"/>
              </w:rPr>
              <w:t xml:space="preserve">, </w:t>
            </w:r>
          </w:p>
          <w:p w:rsidR="00D5633F" w:rsidRPr="00D5633F" w:rsidRDefault="00D5633F" w:rsidP="00253025">
            <w:pPr>
              <w:jc w:val="both"/>
              <w:rPr>
                <w:rFonts w:ascii="Times New Roman" w:hAnsi="Times New Roman"/>
                <w:sz w:val="24"/>
                <w:szCs w:val="24"/>
              </w:rPr>
            </w:pPr>
            <w:r w:rsidRPr="00D5633F">
              <w:rPr>
                <w:rFonts w:ascii="Times New Roman" w:hAnsi="Times New Roman"/>
                <w:sz w:val="24"/>
                <w:szCs w:val="24"/>
              </w:rPr>
              <w:t>LV-1009</w:t>
            </w:r>
          </w:p>
        </w:tc>
        <w:tc>
          <w:tcPr>
            <w:tcW w:w="4945" w:type="dxa"/>
          </w:tcPr>
          <w:p w:rsidR="00D5633F" w:rsidRPr="00D5633F" w:rsidRDefault="00D5633F" w:rsidP="00253025">
            <w:pPr>
              <w:rPr>
                <w:rFonts w:ascii="Times New Roman" w:hAnsi="Times New Roman"/>
                <w:sz w:val="24"/>
                <w:szCs w:val="24"/>
              </w:rPr>
            </w:pPr>
          </w:p>
        </w:tc>
      </w:tr>
      <w:tr w:rsidR="00D5633F" w:rsidRPr="00D5633F" w:rsidTr="00D5633F">
        <w:tblPrEx>
          <w:tblCellMar>
            <w:top w:w="0" w:type="dxa"/>
            <w:bottom w:w="0" w:type="dxa"/>
          </w:tblCellMar>
        </w:tblPrEx>
        <w:trPr>
          <w:trHeight w:val="224"/>
        </w:trPr>
        <w:tc>
          <w:tcPr>
            <w:tcW w:w="4395" w:type="dxa"/>
          </w:tcPr>
          <w:p w:rsidR="00D5633F" w:rsidRPr="00D5633F" w:rsidRDefault="00D5633F" w:rsidP="00253025">
            <w:pPr>
              <w:jc w:val="both"/>
              <w:rPr>
                <w:rFonts w:ascii="Times New Roman" w:hAnsi="Times New Roman"/>
                <w:sz w:val="24"/>
                <w:szCs w:val="24"/>
              </w:rPr>
            </w:pPr>
            <w:r w:rsidRPr="00D5633F">
              <w:rPr>
                <w:rFonts w:ascii="Times New Roman" w:hAnsi="Times New Roman"/>
                <w:sz w:val="24"/>
                <w:szCs w:val="24"/>
              </w:rPr>
              <w:t xml:space="preserve">Banka: </w:t>
            </w:r>
            <w:proofErr w:type="spellStart"/>
            <w:r w:rsidRPr="00D5633F">
              <w:rPr>
                <w:rFonts w:ascii="Times New Roman" w:hAnsi="Times New Roman"/>
                <w:sz w:val="24"/>
                <w:szCs w:val="24"/>
              </w:rPr>
              <w:t>Valsts</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kase</w:t>
            </w:r>
            <w:proofErr w:type="spellEnd"/>
          </w:p>
          <w:p w:rsidR="00D5633F" w:rsidRDefault="00D5633F" w:rsidP="00253025">
            <w:pPr>
              <w:jc w:val="both"/>
              <w:rPr>
                <w:rFonts w:ascii="Times New Roman" w:hAnsi="Times New Roman"/>
                <w:strike/>
                <w:sz w:val="24"/>
                <w:szCs w:val="24"/>
              </w:rPr>
            </w:pPr>
            <w:proofErr w:type="spellStart"/>
            <w:r w:rsidRPr="00D5633F">
              <w:rPr>
                <w:rFonts w:ascii="Times New Roman" w:hAnsi="Times New Roman"/>
                <w:sz w:val="24"/>
                <w:szCs w:val="24"/>
              </w:rPr>
              <w:t>Konts</w:t>
            </w:r>
            <w:proofErr w:type="spellEnd"/>
            <w:r w:rsidRPr="00D5633F">
              <w:rPr>
                <w:rFonts w:ascii="Times New Roman" w:hAnsi="Times New Roman"/>
                <w:sz w:val="24"/>
                <w:szCs w:val="24"/>
              </w:rPr>
              <w:t xml:space="preserve">: </w:t>
            </w:r>
            <w:r w:rsidRPr="00D5633F">
              <w:rPr>
                <w:rFonts w:ascii="Times New Roman" w:hAnsi="Times New Roman"/>
                <w:strike/>
                <w:sz w:val="24"/>
                <w:szCs w:val="24"/>
              </w:rPr>
              <w:t>LV53TREL2190468067000</w:t>
            </w:r>
          </w:p>
          <w:p w:rsidR="00D5633F" w:rsidRPr="00D5633F" w:rsidRDefault="00D5633F" w:rsidP="00D5633F">
            <w:pPr>
              <w:ind w:firstLine="743"/>
              <w:jc w:val="both"/>
              <w:rPr>
                <w:rFonts w:ascii="Times New Roman" w:hAnsi="Times New Roman"/>
                <w:sz w:val="24"/>
                <w:szCs w:val="24"/>
              </w:rPr>
            </w:pPr>
            <w:r w:rsidRPr="00D5633F">
              <w:rPr>
                <w:rFonts w:ascii="Times New Roman" w:hAnsi="Times New Roman"/>
                <w:sz w:val="24"/>
                <w:szCs w:val="24"/>
                <w:highlight w:val="yellow"/>
                <w:lang w:val="lv-LV"/>
              </w:rPr>
              <w:t>LV82TREL219046809200B</w:t>
            </w:r>
          </w:p>
        </w:tc>
        <w:tc>
          <w:tcPr>
            <w:tcW w:w="4945" w:type="dxa"/>
          </w:tcPr>
          <w:p w:rsidR="00D5633F" w:rsidRPr="00D5633F" w:rsidRDefault="00D5633F" w:rsidP="00253025">
            <w:pPr>
              <w:jc w:val="both"/>
              <w:rPr>
                <w:rFonts w:ascii="Times New Roman" w:hAnsi="Times New Roman"/>
                <w:sz w:val="24"/>
                <w:szCs w:val="24"/>
              </w:rPr>
            </w:pPr>
            <w:r w:rsidRPr="00D5633F">
              <w:rPr>
                <w:rFonts w:ascii="Times New Roman" w:hAnsi="Times New Roman"/>
                <w:sz w:val="24"/>
                <w:szCs w:val="24"/>
              </w:rPr>
              <w:t xml:space="preserve">Banka: </w:t>
            </w:r>
          </w:p>
          <w:p w:rsidR="00D5633F" w:rsidRPr="00D5633F" w:rsidRDefault="00D5633F" w:rsidP="00253025">
            <w:pPr>
              <w:jc w:val="both"/>
              <w:rPr>
                <w:rFonts w:ascii="Times New Roman" w:hAnsi="Times New Roman"/>
                <w:sz w:val="24"/>
                <w:szCs w:val="24"/>
              </w:rPr>
            </w:pPr>
            <w:proofErr w:type="spellStart"/>
            <w:r w:rsidRPr="00D5633F">
              <w:rPr>
                <w:rFonts w:ascii="Times New Roman" w:hAnsi="Times New Roman"/>
                <w:sz w:val="24"/>
                <w:szCs w:val="24"/>
              </w:rPr>
              <w:t>Konts</w:t>
            </w:r>
            <w:proofErr w:type="spellEnd"/>
            <w:r w:rsidRPr="00D5633F">
              <w:rPr>
                <w:rFonts w:ascii="Times New Roman" w:hAnsi="Times New Roman"/>
                <w:sz w:val="24"/>
                <w:szCs w:val="24"/>
              </w:rPr>
              <w:t xml:space="preserve">: </w:t>
            </w:r>
          </w:p>
        </w:tc>
      </w:tr>
      <w:tr w:rsidR="00D5633F" w:rsidRPr="00D5633F" w:rsidTr="00D5633F">
        <w:tblPrEx>
          <w:tblCellMar>
            <w:top w:w="0" w:type="dxa"/>
            <w:bottom w:w="0" w:type="dxa"/>
          </w:tblCellMar>
        </w:tblPrEx>
        <w:trPr>
          <w:trHeight w:val="224"/>
        </w:trPr>
        <w:tc>
          <w:tcPr>
            <w:tcW w:w="4395" w:type="dxa"/>
          </w:tcPr>
          <w:p w:rsidR="00D5633F" w:rsidRPr="00D5633F" w:rsidRDefault="00D5633F" w:rsidP="00253025">
            <w:pPr>
              <w:jc w:val="both"/>
              <w:rPr>
                <w:rFonts w:ascii="Times New Roman" w:hAnsi="Times New Roman"/>
                <w:sz w:val="24"/>
                <w:szCs w:val="24"/>
              </w:rPr>
            </w:pPr>
            <w:proofErr w:type="spellStart"/>
            <w:r w:rsidRPr="00D5633F">
              <w:rPr>
                <w:rFonts w:ascii="Times New Roman" w:hAnsi="Times New Roman"/>
                <w:sz w:val="24"/>
                <w:szCs w:val="24"/>
              </w:rPr>
              <w:t>Kods</w:t>
            </w:r>
            <w:proofErr w:type="spellEnd"/>
            <w:r w:rsidRPr="00D5633F">
              <w:rPr>
                <w:rFonts w:ascii="Times New Roman" w:hAnsi="Times New Roman"/>
                <w:sz w:val="24"/>
                <w:szCs w:val="24"/>
              </w:rPr>
              <w:t>: TRELLV22</w:t>
            </w:r>
          </w:p>
          <w:p w:rsidR="00D5633F" w:rsidRPr="00D5633F" w:rsidRDefault="00D5633F" w:rsidP="00253025">
            <w:pPr>
              <w:jc w:val="both"/>
              <w:rPr>
                <w:rFonts w:ascii="Times New Roman" w:hAnsi="Times New Roman"/>
                <w:sz w:val="24"/>
                <w:szCs w:val="24"/>
              </w:rPr>
            </w:pPr>
          </w:p>
        </w:tc>
        <w:tc>
          <w:tcPr>
            <w:tcW w:w="4945" w:type="dxa"/>
          </w:tcPr>
          <w:p w:rsidR="00D5633F" w:rsidRPr="00D5633F" w:rsidRDefault="00D5633F" w:rsidP="00253025">
            <w:pPr>
              <w:rPr>
                <w:rFonts w:ascii="Times New Roman" w:hAnsi="Times New Roman"/>
                <w:sz w:val="24"/>
                <w:szCs w:val="24"/>
              </w:rPr>
            </w:pPr>
            <w:proofErr w:type="spellStart"/>
            <w:r w:rsidRPr="00D5633F">
              <w:rPr>
                <w:rFonts w:ascii="Times New Roman" w:hAnsi="Times New Roman"/>
                <w:sz w:val="24"/>
                <w:szCs w:val="24"/>
              </w:rPr>
              <w:t>Kods</w:t>
            </w:r>
            <w:proofErr w:type="spellEnd"/>
            <w:r w:rsidRPr="00D5633F">
              <w:rPr>
                <w:rFonts w:ascii="Times New Roman" w:hAnsi="Times New Roman"/>
                <w:sz w:val="24"/>
                <w:szCs w:val="24"/>
              </w:rPr>
              <w:t xml:space="preserve">: </w:t>
            </w:r>
          </w:p>
          <w:p w:rsidR="00D5633F" w:rsidRPr="00D5633F" w:rsidRDefault="00D5633F" w:rsidP="00253025">
            <w:pPr>
              <w:jc w:val="both"/>
              <w:rPr>
                <w:rFonts w:ascii="Times New Roman" w:hAnsi="Times New Roman"/>
                <w:sz w:val="24"/>
                <w:szCs w:val="24"/>
              </w:rPr>
            </w:pPr>
          </w:p>
        </w:tc>
      </w:tr>
    </w:tbl>
    <w:p w:rsidR="00D5633F" w:rsidRDefault="00D5633F" w:rsidP="00D5633F"/>
    <w:tbl>
      <w:tblPr>
        <w:tblpPr w:leftFromText="180" w:rightFromText="180" w:vertAnchor="text" w:horzAnchor="margin" w:tblpY="142"/>
        <w:tblW w:w="9468" w:type="dxa"/>
        <w:tblLook w:val="0000" w:firstRow="0" w:lastRow="0" w:firstColumn="0" w:lastColumn="0" w:noHBand="0" w:noVBand="0"/>
      </w:tblPr>
      <w:tblGrid>
        <w:gridCol w:w="4523"/>
        <w:gridCol w:w="4945"/>
      </w:tblGrid>
      <w:tr w:rsidR="00D5633F" w:rsidRPr="00D5633F" w:rsidTr="00253025">
        <w:tblPrEx>
          <w:tblCellMar>
            <w:top w:w="0" w:type="dxa"/>
            <w:bottom w:w="0" w:type="dxa"/>
          </w:tblCellMar>
        </w:tblPrEx>
        <w:trPr>
          <w:trHeight w:val="329"/>
        </w:trPr>
        <w:tc>
          <w:tcPr>
            <w:tcW w:w="4523" w:type="dxa"/>
          </w:tcPr>
          <w:p w:rsidR="00D5633F" w:rsidRPr="00D5633F" w:rsidRDefault="00D5633F" w:rsidP="00253025">
            <w:pPr>
              <w:jc w:val="both"/>
              <w:rPr>
                <w:rFonts w:ascii="Times New Roman" w:hAnsi="Times New Roman"/>
                <w:sz w:val="24"/>
                <w:szCs w:val="24"/>
              </w:rPr>
            </w:pPr>
          </w:p>
          <w:p w:rsidR="00D5633F" w:rsidRPr="00D5633F" w:rsidRDefault="00D5633F" w:rsidP="00253025">
            <w:pPr>
              <w:jc w:val="both"/>
              <w:rPr>
                <w:rFonts w:ascii="Times New Roman" w:hAnsi="Times New Roman"/>
                <w:sz w:val="24"/>
                <w:szCs w:val="24"/>
              </w:rPr>
            </w:pPr>
            <w:proofErr w:type="spellStart"/>
            <w:r w:rsidRPr="00D5633F">
              <w:rPr>
                <w:rFonts w:ascii="Times New Roman" w:hAnsi="Times New Roman"/>
                <w:sz w:val="24"/>
                <w:szCs w:val="24"/>
              </w:rPr>
              <w:t>Priekšniece</w:t>
            </w:r>
            <w:proofErr w:type="spellEnd"/>
            <w:r w:rsidRPr="00D5633F">
              <w:rPr>
                <w:rFonts w:ascii="Times New Roman" w:hAnsi="Times New Roman"/>
                <w:sz w:val="24"/>
                <w:szCs w:val="24"/>
              </w:rPr>
              <w:t xml:space="preserve"> </w:t>
            </w:r>
          </w:p>
          <w:p w:rsidR="00D5633F" w:rsidRPr="00D5633F" w:rsidRDefault="00D5633F" w:rsidP="00253025">
            <w:pPr>
              <w:jc w:val="both"/>
              <w:rPr>
                <w:rFonts w:ascii="Times New Roman" w:hAnsi="Times New Roman"/>
                <w:sz w:val="24"/>
                <w:szCs w:val="24"/>
              </w:rPr>
            </w:pPr>
            <w:r w:rsidRPr="00D5633F">
              <w:rPr>
                <w:rFonts w:ascii="Times New Roman" w:hAnsi="Times New Roman"/>
                <w:sz w:val="24"/>
                <w:szCs w:val="24"/>
              </w:rPr>
              <w:t>________________________</w:t>
            </w:r>
            <w:proofErr w:type="spellStart"/>
            <w:r w:rsidRPr="00D5633F">
              <w:rPr>
                <w:rFonts w:ascii="Times New Roman" w:hAnsi="Times New Roman"/>
                <w:sz w:val="24"/>
                <w:szCs w:val="24"/>
              </w:rPr>
              <w:t>I.Spure</w:t>
            </w:r>
            <w:proofErr w:type="spellEnd"/>
          </w:p>
          <w:p w:rsidR="00D5633F" w:rsidRPr="00D5633F" w:rsidRDefault="00D5633F" w:rsidP="00253025">
            <w:pPr>
              <w:jc w:val="both"/>
              <w:rPr>
                <w:rFonts w:ascii="Times New Roman" w:hAnsi="Times New Roman"/>
                <w:sz w:val="24"/>
                <w:szCs w:val="24"/>
              </w:rPr>
            </w:pPr>
            <w:r w:rsidRPr="00D5633F">
              <w:rPr>
                <w:rFonts w:ascii="Times New Roman" w:hAnsi="Times New Roman"/>
                <w:sz w:val="24"/>
                <w:szCs w:val="24"/>
              </w:rPr>
              <w:t>/</w:t>
            </w:r>
            <w:proofErr w:type="spellStart"/>
            <w:r w:rsidRPr="00D5633F">
              <w:rPr>
                <w:rFonts w:ascii="Times New Roman" w:hAnsi="Times New Roman"/>
                <w:sz w:val="24"/>
                <w:szCs w:val="24"/>
              </w:rPr>
              <w:t>amats</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paraksts</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paraksta</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atšifr</w:t>
            </w:r>
            <w:r w:rsidRPr="00D5633F">
              <w:rPr>
                <w:rFonts w:ascii="Times New Roman" w:hAnsi="Times New Roman"/>
                <w:sz w:val="24"/>
                <w:szCs w:val="24"/>
              </w:rPr>
              <w:t>ē</w:t>
            </w:r>
            <w:r w:rsidRPr="00D5633F">
              <w:rPr>
                <w:rFonts w:ascii="Times New Roman" w:hAnsi="Times New Roman"/>
                <w:sz w:val="24"/>
                <w:szCs w:val="24"/>
              </w:rPr>
              <w:t>jums</w:t>
            </w:r>
            <w:proofErr w:type="spellEnd"/>
            <w:r w:rsidRPr="00D5633F">
              <w:rPr>
                <w:rFonts w:ascii="Times New Roman" w:hAnsi="Times New Roman"/>
                <w:sz w:val="24"/>
                <w:szCs w:val="24"/>
              </w:rPr>
              <w:t>/</w:t>
            </w:r>
          </w:p>
        </w:tc>
        <w:tc>
          <w:tcPr>
            <w:tcW w:w="4945" w:type="dxa"/>
          </w:tcPr>
          <w:p w:rsidR="00D5633F" w:rsidRPr="00D5633F" w:rsidRDefault="00D5633F" w:rsidP="00253025">
            <w:pPr>
              <w:rPr>
                <w:rFonts w:ascii="Times New Roman" w:hAnsi="Times New Roman"/>
                <w:sz w:val="24"/>
                <w:szCs w:val="24"/>
              </w:rPr>
            </w:pPr>
          </w:p>
          <w:p w:rsidR="00D5633F" w:rsidRPr="00D5633F" w:rsidRDefault="00D5633F" w:rsidP="00253025">
            <w:pPr>
              <w:rPr>
                <w:rFonts w:ascii="Times New Roman" w:hAnsi="Times New Roman"/>
                <w:sz w:val="24"/>
                <w:szCs w:val="24"/>
              </w:rPr>
            </w:pPr>
          </w:p>
          <w:p w:rsidR="00D5633F" w:rsidRPr="00D5633F" w:rsidRDefault="00D5633F" w:rsidP="00253025">
            <w:pPr>
              <w:rPr>
                <w:rFonts w:ascii="Times New Roman" w:hAnsi="Times New Roman"/>
                <w:sz w:val="24"/>
                <w:szCs w:val="24"/>
              </w:rPr>
            </w:pPr>
            <w:r w:rsidRPr="00D5633F">
              <w:rPr>
                <w:rFonts w:ascii="Times New Roman" w:hAnsi="Times New Roman"/>
                <w:sz w:val="24"/>
                <w:szCs w:val="24"/>
              </w:rPr>
              <w:t>________________________                          /</w:t>
            </w:r>
            <w:proofErr w:type="spellStart"/>
            <w:r w:rsidRPr="00D5633F">
              <w:rPr>
                <w:rFonts w:ascii="Times New Roman" w:hAnsi="Times New Roman"/>
                <w:sz w:val="24"/>
                <w:szCs w:val="24"/>
              </w:rPr>
              <w:t>amats</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paraksts</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paraksta</w:t>
            </w:r>
            <w:proofErr w:type="spellEnd"/>
            <w:r w:rsidRPr="00D5633F">
              <w:rPr>
                <w:rFonts w:ascii="Times New Roman" w:hAnsi="Times New Roman"/>
                <w:sz w:val="24"/>
                <w:szCs w:val="24"/>
              </w:rPr>
              <w:t xml:space="preserve"> </w:t>
            </w:r>
            <w:proofErr w:type="spellStart"/>
            <w:r w:rsidRPr="00D5633F">
              <w:rPr>
                <w:rFonts w:ascii="Times New Roman" w:hAnsi="Times New Roman"/>
                <w:sz w:val="24"/>
                <w:szCs w:val="24"/>
              </w:rPr>
              <w:t>atšifrējums</w:t>
            </w:r>
            <w:proofErr w:type="spellEnd"/>
            <w:r w:rsidRPr="00D5633F">
              <w:rPr>
                <w:rFonts w:ascii="Times New Roman" w:hAnsi="Times New Roman"/>
                <w:sz w:val="24"/>
                <w:szCs w:val="24"/>
              </w:rPr>
              <w:t>/</w:t>
            </w:r>
          </w:p>
          <w:p w:rsidR="00D5633F" w:rsidRDefault="00D5633F" w:rsidP="00253025">
            <w:pPr>
              <w:rPr>
                <w:rFonts w:ascii="Times New Roman" w:hAnsi="Times New Roman"/>
                <w:sz w:val="24"/>
                <w:szCs w:val="24"/>
              </w:rPr>
            </w:pPr>
          </w:p>
          <w:p w:rsidR="00D5633F" w:rsidRDefault="00D5633F" w:rsidP="00253025">
            <w:pPr>
              <w:rPr>
                <w:rFonts w:ascii="Times New Roman" w:hAnsi="Times New Roman"/>
                <w:sz w:val="24"/>
                <w:szCs w:val="24"/>
              </w:rPr>
            </w:pPr>
          </w:p>
          <w:p w:rsidR="00D5633F" w:rsidRPr="00D5633F" w:rsidRDefault="00D5633F" w:rsidP="00253025">
            <w:pPr>
              <w:rPr>
                <w:rFonts w:ascii="Times New Roman" w:hAnsi="Times New Roman"/>
                <w:sz w:val="24"/>
                <w:szCs w:val="24"/>
              </w:rPr>
            </w:pPr>
          </w:p>
          <w:p w:rsidR="00D5633F" w:rsidRPr="00D5633F" w:rsidRDefault="00D5633F" w:rsidP="00253025">
            <w:pPr>
              <w:rPr>
                <w:rFonts w:ascii="Times New Roman" w:hAnsi="Times New Roman"/>
                <w:sz w:val="24"/>
                <w:szCs w:val="24"/>
              </w:rPr>
            </w:pPr>
          </w:p>
          <w:p w:rsidR="00D5633F" w:rsidRPr="00D5633F" w:rsidRDefault="00D5633F" w:rsidP="00253025">
            <w:pPr>
              <w:rPr>
                <w:rFonts w:ascii="Times New Roman" w:hAnsi="Times New Roman"/>
                <w:sz w:val="24"/>
                <w:szCs w:val="24"/>
              </w:rPr>
            </w:pPr>
          </w:p>
        </w:tc>
      </w:tr>
    </w:tbl>
    <w:p w:rsidR="00D5633F" w:rsidRPr="00D45232" w:rsidRDefault="00D5633F" w:rsidP="00D5633F">
      <w:pPr>
        <w:pStyle w:val="tv213"/>
        <w:spacing w:before="0" w:beforeAutospacing="0" w:after="0" w:afterAutospacing="0"/>
        <w:jc w:val="both"/>
      </w:pPr>
    </w:p>
    <w:p w:rsidR="00D5633F" w:rsidRDefault="00D5633F" w:rsidP="00D5633F">
      <w:pPr>
        <w:pStyle w:val="tv213"/>
        <w:tabs>
          <w:tab w:val="left" w:pos="993"/>
        </w:tabs>
        <w:spacing w:before="0" w:beforeAutospacing="0" w:after="0" w:afterAutospacing="0"/>
        <w:ind w:firstLine="567"/>
        <w:jc w:val="both"/>
      </w:pPr>
    </w:p>
    <w:p w:rsidR="00D5633F" w:rsidRPr="00D5633F" w:rsidRDefault="00D5633F" w:rsidP="00D5633F">
      <w:pPr>
        <w:widowControl/>
        <w:tabs>
          <w:tab w:val="left" w:pos="1440"/>
        </w:tabs>
        <w:jc w:val="both"/>
        <w:rPr>
          <w:lang w:val="lv-LV"/>
        </w:rPr>
      </w:pPr>
    </w:p>
    <w:p w:rsidR="00CF346D" w:rsidRPr="00D5633F" w:rsidRDefault="00CF346D">
      <w:pPr>
        <w:rPr>
          <w:lang w:val="lv-LV"/>
        </w:rPr>
      </w:pPr>
    </w:p>
    <w:sectPr w:rsidR="00CF346D" w:rsidRPr="00D5633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84B2C"/>
    <w:multiLevelType w:val="multilevel"/>
    <w:tmpl w:val="E44030FA"/>
    <w:lvl w:ilvl="0">
      <w:start w:val="9"/>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69374102"/>
    <w:multiLevelType w:val="multilevel"/>
    <w:tmpl w:val="A826333E"/>
    <w:lvl w:ilvl="0">
      <w:start w:val="9"/>
      <w:numFmt w:val="decimal"/>
      <w:lvlText w:val="%1."/>
      <w:lvlJc w:val="left"/>
      <w:pPr>
        <w:ind w:left="495" w:hanging="495"/>
      </w:pPr>
      <w:rPr>
        <w:rFonts w:hint="default"/>
      </w:rPr>
    </w:lvl>
    <w:lvl w:ilvl="1">
      <w:start w:val="3"/>
      <w:numFmt w:val="decimal"/>
      <w:lvlText w:val="%1.%2."/>
      <w:lvlJc w:val="left"/>
      <w:pPr>
        <w:ind w:left="1062" w:hanging="495"/>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3F"/>
    <w:rsid w:val="00332003"/>
    <w:rsid w:val="00CF346D"/>
    <w:rsid w:val="00D563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D160F9-FE76-43D6-BAA8-597B632E2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5633F"/>
    <w:pPr>
      <w:widowControl w:val="0"/>
      <w:spacing w:after="0" w:line="240"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D5633F"/>
    <w:pPr>
      <w:widowControl/>
      <w:spacing w:before="100" w:beforeAutospacing="1" w:after="100" w:afterAutospacing="1"/>
    </w:pPr>
    <w:rPr>
      <w:rFonts w:ascii="Times New Roman" w:eastAsia="Times New Roman" w:hAnsi="Times New Roman"/>
      <w:sz w:val="24"/>
      <w:szCs w:val="24"/>
      <w:lang w:val="lv-LV" w:eastAsia="lv-LV"/>
    </w:rPr>
  </w:style>
  <w:style w:type="paragraph" w:styleId="ListParagraph">
    <w:name w:val="List Paragraph"/>
    <w:basedOn w:val="Normal"/>
    <w:uiPriority w:val="34"/>
    <w:qFormat/>
    <w:rsid w:val="00D5633F"/>
    <w:pPr>
      <w:ind w:left="720"/>
      <w:contextualSpacing/>
    </w:pPr>
  </w:style>
  <w:style w:type="paragraph" w:styleId="BodyTextIndent2">
    <w:name w:val="Body Text Indent 2"/>
    <w:basedOn w:val="Normal"/>
    <w:link w:val="BodyTextIndent2Char"/>
    <w:rsid w:val="00D5633F"/>
    <w:pPr>
      <w:widowControl/>
      <w:spacing w:after="120" w:line="480" w:lineRule="auto"/>
      <w:ind w:left="283"/>
    </w:pPr>
    <w:rPr>
      <w:rFonts w:ascii="Times New Roman" w:eastAsia="Times New Roman" w:hAnsi="Times New Roman"/>
      <w:sz w:val="24"/>
      <w:szCs w:val="24"/>
      <w:lang w:val="x-none" w:eastAsia="x-none"/>
    </w:rPr>
  </w:style>
  <w:style w:type="character" w:customStyle="1" w:styleId="BodyTextIndent2Char">
    <w:name w:val="Body Text Indent 2 Char"/>
    <w:basedOn w:val="DefaultParagraphFont"/>
    <w:link w:val="BodyTextIndent2"/>
    <w:rsid w:val="00D5633F"/>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133536" TargetMode="External"/><Relationship Id="rId3" Type="http://schemas.openxmlformats.org/officeDocument/2006/relationships/settings" Target="settings.xml"/><Relationship Id="rId7" Type="http://schemas.openxmlformats.org/officeDocument/2006/relationships/hyperlink" Target="http://likumi.lv/doc.php?id=1335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kumi.lv/doc.php?id=133536" TargetMode="External"/><Relationship Id="rId11" Type="http://schemas.openxmlformats.org/officeDocument/2006/relationships/theme" Target="theme/theme1.xml"/><Relationship Id="rId5" Type="http://schemas.openxmlformats.org/officeDocument/2006/relationships/hyperlink" Target="http://likumi.lv/doc.php?id=13353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ikumi.lv/doc.php?id=1335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Maksims Laskovs</dc:creator>
  <cp:keywords/>
  <dc:description/>
  <cp:lastModifiedBy>Maksims Laskovs</cp:lastModifiedBy>
  <cp:revision>2</cp:revision>
  <dcterms:created xsi:type="dcterms:W3CDTF">2017-06-21T07:50:00Z</dcterms:created>
  <dcterms:modified xsi:type="dcterms:W3CDTF">2017-06-21T08:07:00Z</dcterms:modified>
</cp:coreProperties>
</file>