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69C" w:rsidRPr="0049269C" w:rsidRDefault="0049269C" w:rsidP="001C70C9">
      <w:pPr>
        <w:ind w:right="-1"/>
        <w:jc w:val="center"/>
        <w:rPr>
          <w:lang w:val="lv-LV"/>
        </w:rPr>
      </w:pPr>
      <w:r w:rsidRPr="0049269C">
        <w:rPr>
          <w:lang w:val="lv-LV"/>
        </w:rPr>
        <w:t>Ieslodzījuma vietu pārvaldes</w:t>
      </w:r>
    </w:p>
    <w:p w:rsidR="0049269C" w:rsidRPr="0049269C" w:rsidRDefault="0049269C" w:rsidP="001C70C9">
      <w:pPr>
        <w:ind w:right="-1"/>
        <w:jc w:val="center"/>
        <w:rPr>
          <w:lang w:val="lv-LV"/>
        </w:rPr>
      </w:pPr>
      <w:r w:rsidRPr="0049269C">
        <w:rPr>
          <w:lang w:val="lv-LV"/>
        </w:rPr>
        <w:t>atklāta konkursa</w:t>
      </w:r>
    </w:p>
    <w:p w:rsidR="0049269C" w:rsidRPr="0049269C" w:rsidRDefault="0049269C" w:rsidP="001C70C9">
      <w:pPr>
        <w:ind w:right="-1"/>
        <w:jc w:val="center"/>
        <w:rPr>
          <w:lang w:val="lv-LV"/>
        </w:rPr>
      </w:pPr>
      <w:r w:rsidRPr="0049269C">
        <w:rPr>
          <w:b/>
          <w:lang w:val="lv-LV"/>
        </w:rPr>
        <w:t>"Rīgas Centrālcietuma pastaigu laukumu remonts"</w:t>
      </w:r>
    </w:p>
    <w:p w:rsidR="0049269C" w:rsidRPr="0049269C" w:rsidRDefault="0049269C" w:rsidP="001C70C9">
      <w:pPr>
        <w:ind w:right="-1"/>
        <w:jc w:val="center"/>
        <w:rPr>
          <w:lang w:val="lv-LV"/>
        </w:rPr>
      </w:pPr>
      <w:r w:rsidRPr="0049269C">
        <w:rPr>
          <w:lang w:val="lv-LV"/>
        </w:rPr>
        <w:t xml:space="preserve">(iepirkuma identifikācijas numurs </w:t>
      </w:r>
      <w:proofErr w:type="spellStart"/>
      <w:r w:rsidRPr="0049269C">
        <w:rPr>
          <w:lang w:val="lv-LV"/>
        </w:rPr>
        <w:t>IeVP</w:t>
      </w:r>
      <w:proofErr w:type="spellEnd"/>
      <w:r w:rsidRPr="0049269C">
        <w:rPr>
          <w:lang w:val="lv-LV"/>
        </w:rPr>
        <w:t xml:space="preserve"> 2018/20)</w:t>
      </w:r>
    </w:p>
    <w:p w:rsidR="009C6880" w:rsidRPr="00101C1F" w:rsidRDefault="009C6880" w:rsidP="001C70C9">
      <w:pPr>
        <w:ind w:right="-1"/>
        <w:jc w:val="center"/>
        <w:rPr>
          <w:lang w:val="lv-LV"/>
        </w:rPr>
      </w:pPr>
    </w:p>
    <w:p w:rsidR="00B67C54" w:rsidRPr="00101C1F" w:rsidRDefault="00B67C54" w:rsidP="001C70C9">
      <w:pPr>
        <w:ind w:right="-1"/>
        <w:jc w:val="center"/>
        <w:rPr>
          <w:lang w:val="lv-LV"/>
        </w:rPr>
      </w:pPr>
      <w:r w:rsidRPr="00101C1F">
        <w:rPr>
          <w:lang w:val="lv-LV"/>
        </w:rPr>
        <w:t>Iepirkuma procedūras ziņojums</w:t>
      </w:r>
    </w:p>
    <w:p w:rsidR="00B67C54" w:rsidRPr="00101C1F" w:rsidRDefault="00B67C54" w:rsidP="001C70C9">
      <w:pPr>
        <w:ind w:right="-1"/>
        <w:jc w:val="center"/>
        <w:rPr>
          <w:lang w:val="lv-LV"/>
        </w:rPr>
      </w:pPr>
    </w:p>
    <w:p w:rsidR="00B67C54" w:rsidRPr="00101C1F" w:rsidRDefault="00B67C54" w:rsidP="001C70C9">
      <w:pPr>
        <w:ind w:right="-1"/>
        <w:jc w:val="center"/>
        <w:rPr>
          <w:lang w:val="lv-LV"/>
        </w:rPr>
      </w:pPr>
    </w:p>
    <w:p w:rsidR="00B67C54" w:rsidRPr="00101C1F" w:rsidRDefault="00B67C54" w:rsidP="001C70C9">
      <w:pPr>
        <w:ind w:left="567" w:right="-1"/>
        <w:jc w:val="both"/>
        <w:rPr>
          <w:lang w:val="lv-LV"/>
        </w:rPr>
      </w:pPr>
      <w:r w:rsidRPr="00101C1F">
        <w:rPr>
          <w:lang w:val="lv-LV"/>
        </w:rPr>
        <w:t>Rīgā</w:t>
      </w:r>
      <w:r w:rsidR="00E62F9B" w:rsidRPr="00101C1F">
        <w:rPr>
          <w:lang w:val="lv-LV"/>
        </w:rPr>
        <w:t>,</w:t>
      </w:r>
      <w:r w:rsidRPr="00101C1F">
        <w:rPr>
          <w:lang w:val="lv-LV"/>
        </w:rPr>
        <w:t xml:space="preserve">                                                                                  </w:t>
      </w:r>
      <w:r w:rsidR="00565544" w:rsidRPr="00101C1F">
        <w:rPr>
          <w:lang w:val="lv-LV"/>
        </w:rPr>
        <w:t xml:space="preserve">              </w:t>
      </w:r>
      <w:r w:rsidR="009C6880" w:rsidRPr="00101C1F">
        <w:rPr>
          <w:lang w:val="lv-LV"/>
        </w:rPr>
        <w:t xml:space="preserve">    </w:t>
      </w:r>
      <w:r w:rsidR="00A9747F" w:rsidRPr="00101C1F">
        <w:rPr>
          <w:lang w:val="lv-LV"/>
        </w:rPr>
        <w:t xml:space="preserve">  </w:t>
      </w:r>
      <w:r w:rsidRPr="00101C1F">
        <w:rPr>
          <w:lang w:val="lv-LV"/>
        </w:rPr>
        <w:t>201</w:t>
      </w:r>
      <w:r w:rsidR="009403E1" w:rsidRPr="00101C1F">
        <w:rPr>
          <w:lang w:val="lv-LV"/>
        </w:rPr>
        <w:t>8</w:t>
      </w:r>
      <w:r w:rsidR="00533037" w:rsidRPr="00101C1F">
        <w:rPr>
          <w:lang w:val="lv-LV"/>
        </w:rPr>
        <w:t>.</w:t>
      </w:r>
      <w:r w:rsidR="00565544" w:rsidRPr="00101C1F">
        <w:rPr>
          <w:lang w:val="lv-LV"/>
        </w:rPr>
        <w:t xml:space="preserve"> </w:t>
      </w:r>
      <w:r w:rsidR="00533037" w:rsidRPr="00101C1F">
        <w:rPr>
          <w:lang w:val="lv-LV"/>
        </w:rPr>
        <w:t xml:space="preserve">gada </w:t>
      </w:r>
      <w:r w:rsidR="0049269C">
        <w:rPr>
          <w:lang w:val="lv-LV"/>
        </w:rPr>
        <w:t>7</w:t>
      </w:r>
      <w:r w:rsidR="009C6880" w:rsidRPr="00101C1F">
        <w:rPr>
          <w:lang w:val="lv-LV"/>
        </w:rPr>
        <w:t>. augustā</w:t>
      </w:r>
    </w:p>
    <w:p w:rsidR="00B67C54" w:rsidRPr="00101C1F" w:rsidRDefault="00B67C54" w:rsidP="001C70C9">
      <w:pPr>
        <w:ind w:right="-1"/>
        <w:jc w:val="both"/>
        <w:rPr>
          <w:lang w:val="lv-LV"/>
        </w:rPr>
      </w:pPr>
    </w:p>
    <w:p w:rsidR="00B67C54" w:rsidRPr="00101C1F" w:rsidRDefault="00B67C54" w:rsidP="001C70C9">
      <w:pPr>
        <w:ind w:right="-1"/>
        <w:jc w:val="both"/>
        <w:rPr>
          <w:lang w:val="lv-LV"/>
        </w:rPr>
      </w:pPr>
      <w:r w:rsidRPr="00101C1F">
        <w:rPr>
          <w:b/>
          <w:lang w:val="lv-LV"/>
        </w:rPr>
        <w:t>1. Pasūtītājs:</w:t>
      </w:r>
      <w:r w:rsidRPr="00101C1F">
        <w:rPr>
          <w:lang w:val="lv-LV"/>
        </w:rPr>
        <w:t xml:space="preserve"> Ieslodzījuma vietu pārvalde</w:t>
      </w:r>
      <w:r w:rsidR="00E056F3" w:rsidRPr="00101C1F">
        <w:rPr>
          <w:lang w:val="lv-LV"/>
        </w:rPr>
        <w:t xml:space="preserve"> (turpmāk – Pārvalde)</w:t>
      </w:r>
      <w:r w:rsidRPr="00101C1F">
        <w:rPr>
          <w:lang w:val="lv-LV"/>
        </w:rPr>
        <w:t>, Stabu ielā 89, Rīgā, LV-1009</w:t>
      </w:r>
    </w:p>
    <w:p w:rsidR="00B67C54" w:rsidRPr="00101C1F" w:rsidRDefault="00B67C54" w:rsidP="001C70C9">
      <w:pPr>
        <w:ind w:right="-1"/>
        <w:jc w:val="both"/>
        <w:rPr>
          <w:lang w:val="lv-LV"/>
        </w:rPr>
      </w:pPr>
      <w:r w:rsidRPr="00101C1F">
        <w:rPr>
          <w:b/>
          <w:lang w:val="lv-LV"/>
        </w:rPr>
        <w:t>Iepirkuma identifikācijas numurs:</w:t>
      </w:r>
      <w:r w:rsidR="00BE43ED" w:rsidRPr="00101C1F">
        <w:rPr>
          <w:lang w:val="lv-LV"/>
        </w:rPr>
        <w:t xml:space="preserve"> </w:t>
      </w:r>
      <w:proofErr w:type="spellStart"/>
      <w:r w:rsidRPr="00101C1F">
        <w:rPr>
          <w:lang w:val="lv-LV"/>
        </w:rPr>
        <w:t>IeVP</w:t>
      </w:r>
      <w:proofErr w:type="spellEnd"/>
      <w:r w:rsidRPr="00101C1F">
        <w:rPr>
          <w:lang w:val="lv-LV"/>
        </w:rPr>
        <w:t xml:space="preserve"> 201</w:t>
      </w:r>
      <w:r w:rsidR="009403E1" w:rsidRPr="00101C1F">
        <w:rPr>
          <w:lang w:val="lv-LV"/>
        </w:rPr>
        <w:t>8</w:t>
      </w:r>
      <w:r w:rsidRPr="00101C1F">
        <w:rPr>
          <w:lang w:val="lv-LV"/>
        </w:rPr>
        <w:t>/</w:t>
      </w:r>
      <w:r w:rsidR="0049269C">
        <w:rPr>
          <w:bCs/>
          <w:lang w:val="lv-LV"/>
        </w:rPr>
        <w:t>20</w:t>
      </w:r>
    </w:p>
    <w:p w:rsidR="00565544" w:rsidRPr="00101C1F" w:rsidRDefault="00B67C54" w:rsidP="001C70C9">
      <w:pPr>
        <w:ind w:right="-1"/>
        <w:jc w:val="both"/>
        <w:rPr>
          <w:lang w:val="lv-LV"/>
        </w:rPr>
      </w:pPr>
      <w:r w:rsidRPr="00101C1F">
        <w:rPr>
          <w:b/>
          <w:lang w:val="lv-LV"/>
        </w:rPr>
        <w:t>Iepirkuma procedūras veids</w:t>
      </w:r>
      <w:r w:rsidRPr="00101C1F">
        <w:rPr>
          <w:lang w:val="lv-LV"/>
        </w:rPr>
        <w:t xml:space="preserve">: </w:t>
      </w:r>
      <w:r w:rsidR="00565544" w:rsidRPr="00101C1F">
        <w:rPr>
          <w:lang w:val="lv-LV"/>
        </w:rPr>
        <w:t xml:space="preserve">atklātais konkurss Publisko iepirkumu likuma </w:t>
      </w:r>
      <w:r w:rsidR="00565544" w:rsidRPr="00101C1F">
        <w:rPr>
          <w:rFonts w:eastAsiaTheme="minorHAnsi"/>
          <w:noProof/>
          <w:lang w:val="lv-LV"/>
        </w:rPr>
        <w:t>(turpmāk – Likums)</w:t>
      </w:r>
      <w:r w:rsidR="00565544" w:rsidRPr="00101C1F">
        <w:rPr>
          <w:lang w:val="lv-LV"/>
        </w:rPr>
        <w:t xml:space="preserve"> noteiktajā kārtībā.</w:t>
      </w:r>
    </w:p>
    <w:p w:rsidR="00FB233F" w:rsidRPr="00101C1F" w:rsidRDefault="00B67C54" w:rsidP="001C70C9">
      <w:pPr>
        <w:pStyle w:val="NoSpacing"/>
        <w:ind w:right="-1"/>
        <w:jc w:val="both"/>
      </w:pPr>
      <w:r w:rsidRPr="00101C1F">
        <w:rPr>
          <w:rFonts w:ascii="Times New Roman" w:hAnsi="Times New Roman" w:cs="Times New Roman"/>
          <w:b/>
          <w:sz w:val="24"/>
          <w:szCs w:val="24"/>
        </w:rPr>
        <w:t>Iepirkuma priekšmets un īss tā apraksts:</w:t>
      </w:r>
      <w:r w:rsidRPr="00101C1F">
        <w:t xml:space="preserve"> </w:t>
      </w:r>
      <w:r w:rsidR="0049269C" w:rsidRPr="0049269C">
        <w:rPr>
          <w:rFonts w:ascii="Times New Roman" w:hAnsi="Times New Roman" w:cs="Times New Roman"/>
          <w:sz w:val="24"/>
          <w:szCs w:val="24"/>
        </w:rPr>
        <w:t>Rīgas Centrālcietuma pastaigu laukumu remonts</w:t>
      </w:r>
      <w:r w:rsidR="0049269C">
        <w:rPr>
          <w:rFonts w:ascii="Times New Roman" w:hAnsi="Times New Roman" w:cs="Times New Roman"/>
          <w:sz w:val="24"/>
          <w:szCs w:val="24"/>
        </w:rPr>
        <w:t>.</w:t>
      </w:r>
    </w:p>
    <w:p w:rsidR="009C6880" w:rsidRPr="00101C1F" w:rsidRDefault="009C6880" w:rsidP="001C70C9">
      <w:pPr>
        <w:pStyle w:val="NoSpacing"/>
        <w:ind w:right="-1"/>
        <w:jc w:val="both"/>
      </w:pPr>
    </w:p>
    <w:p w:rsidR="009C6880" w:rsidRPr="00101C1F" w:rsidRDefault="009C6880" w:rsidP="001C70C9">
      <w:pPr>
        <w:pStyle w:val="NoSpacing"/>
        <w:ind w:right="-1"/>
        <w:jc w:val="both"/>
        <w:rPr>
          <w:rFonts w:ascii="Times New Roman" w:hAnsi="Times New Roman" w:cs="Times New Roman"/>
          <w:sz w:val="24"/>
          <w:szCs w:val="24"/>
        </w:rPr>
      </w:pPr>
    </w:p>
    <w:p w:rsidR="00B67C54" w:rsidRPr="00101C1F" w:rsidRDefault="00B67C54" w:rsidP="001C70C9">
      <w:pPr>
        <w:ind w:right="-1"/>
        <w:jc w:val="both"/>
        <w:rPr>
          <w:lang w:val="lv-LV"/>
        </w:rPr>
      </w:pPr>
      <w:r w:rsidRPr="00101C1F">
        <w:rPr>
          <w:b/>
          <w:lang w:val="lv-LV"/>
        </w:rPr>
        <w:t xml:space="preserve">2. Datums, kad informatīvais paziņojums publicēts Iepirkumu uzraudzības biroja mājas lapā: </w:t>
      </w:r>
      <w:r w:rsidRPr="00101C1F">
        <w:rPr>
          <w:lang w:val="lv-LV"/>
        </w:rPr>
        <w:t>201</w:t>
      </w:r>
      <w:r w:rsidR="009403E1" w:rsidRPr="00101C1F">
        <w:rPr>
          <w:lang w:val="lv-LV"/>
        </w:rPr>
        <w:t>8</w:t>
      </w:r>
      <w:r w:rsidRPr="00101C1F">
        <w:rPr>
          <w:lang w:val="lv-LV"/>
        </w:rPr>
        <w:t>.</w:t>
      </w:r>
      <w:r w:rsidR="00565544" w:rsidRPr="00101C1F">
        <w:rPr>
          <w:lang w:val="lv-LV"/>
        </w:rPr>
        <w:t xml:space="preserve"> </w:t>
      </w:r>
      <w:r w:rsidRPr="00101C1F">
        <w:rPr>
          <w:lang w:val="lv-LV"/>
        </w:rPr>
        <w:t xml:space="preserve">gada </w:t>
      </w:r>
      <w:r w:rsidR="0049269C">
        <w:rPr>
          <w:lang w:val="lv-LV"/>
        </w:rPr>
        <w:t>10. jūlijā.</w:t>
      </w:r>
    </w:p>
    <w:p w:rsidR="00096F94" w:rsidRPr="00101C1F" w:rsidRDefault="00096F94" w:rsidP="001C70C9">
      <w:pPr>
        <w:ind w:right="-1"/>
        <w:jc w:val="both"/>
        <w:rPr>
          <w:b/>
          <w:lang w:val="lv-LV"/>
        </w:rPr>
      </w:pPr>
    </w:p>
    <w:p w:rsidR="00565544" w:rsidRDefault="00565544" w:rsidP="001C70C9">
      <w:pPr>
        <w:ind w:right="-1"/>
        <w:jc w:val="both"/>
        <w:rPr>
          <w:b/>
          <w:lang w:val="lv-LV"/>
        </w:rPr>
      </w:pPr>
      <w:r w:rsidRPr="00101C1F">
        <w:rPr>
          <w:b/>
          <w:lang w:val="lv-LV"/>
        </w:rPr>
        <w:t>3. Iepirkumu komisija:</w:t>
      </w:r>
    </w:p>
    <w:p w:rsidR="0049269C" w:rsidRPr="006B7993" w:rsidRDefault="0049269C" w:rsidP="001C70C9">
      <w:pPr>
        <w:ind w:right="-1"/>
        <w:jc w:val="both"/>
        <w:rPr>
          <w:b/>
          <w:lang w:val="lv-LV"/>
        </w:rPr>
      </w:pPr>
      <w:r w:rsidRPr="006B7993">
        <w:rPr>
          <w:rFonts w:eastAsiaTheme="minorHAnsi" w:cstheme="minorBidi"/>
          <w:b/>
          <w:noProof/>
          <w:lang w:val="lv-LV"/>
        </w:rPr>
        <w:t xml:space="preserve">Iepirkumu komisijas priekšsēdētāja: </w:t>
      </w:r>
      <w:r w:rsidRPr="006B7993">
        <w:rPr>
          <w:rFonts w:eastAsiaTheme="minorHAnsi" w:cstheme="minorBidi"/>
          <w:noProof/>
          <w:lang w:val="lv-LV"/>
        </w:rPr>
        <w:t>Pārvaldes priekšnieka vietniece pulkvežleitnante Tatjana Trocka.</w:t>
      </w:r>
    </w:p>
    <w:p w:rsidR="0049269C" w:rsidRPr="00101C1F" w:rsidRDefault="0049269C" w:rsidP="001C70C9">
      <w:pPr>
        <w:ind w:right="-1"/>
        <w:jc w:val="both"/>
        <w:rPr>
          <w:b/>
          <w:lang w:val="lv-LV"/>
        </w:rPr>
      </w:pPr>
    </w:p>
    <w:p w:rsidR="00984496" w:rsidRPr="00101C1F" w:rsidRDefault="00101C1F" w:rsidP="001C70C9">
      <w:pPr>
        <w:jc w:val="both"/>
        <w:rPr>
          <w:rFonts w:eastAsiaTheme="minorHAnsi"/>
          <w:b/>
          <w:noProof/>
          <w:lang w:val="lv-LV"/>
        </w:rPr>
      </w:pPr>
      <w:r w:rsidRPr="00FA0721">
        <w:rPr>
          <w:rFonts w:eastAsiaTheme="minorHAnsi"/>
          <w:b/>
          <w:noProof/>
          <w:lang w:val="lv-LV"/>
        </w:rPr>
        <w:t>Iepirkumu komisijas priekšsēdētāja vietniece:</w:t>
      </w:r>
      <w:r w:rsidRPr="00FA0721">
        <w:rPr>
          <w:rFonts w:eastAsiaTheme="minorHAnsi"/>
          <w:noProof/>
          <w:lang w:val="lv-LV"/>
        </w:rPr>
        <w:t xml:space="preserve"> Pārvaldes centrālā aparāta Grāmatvedības daļas informācijas uzskaites galvenā speciāliste virsleitnante Jūlija Baranova.</w:t>
      </w:r>
    </w:p>
    <w:p w:rsidR="00984496" w:rsidRPr="00101C1F" w:rsidRDefault="00101C1F" w:rsidP="001C70C9">
      <w:pPr>
        <w:ind w:right="-1"/>
        <w:jc w:val="both"/>
        <w:rPr>
          <w:rFonts w:eastAsiaTheme="minorHAnsi" w:cstheme="minorBidi"/>
          <w:b/>
          <w:noProof/>
          <w:lang w:val="lv-LV"/>
        </w:rPr>
      </w:pPr>
      <w:r w:rsidRPr="00101C1F">
        <w:rPr>
          <w:rFonts w:eastAsiaTheme="minorHAnsi" w:cstheme="minorBidi"/>
          <w:b/>
          <w:noProof/>
          <w:lang w:val="lv-LV"/>
        </w:rPr>
        <w:t>Iepirkumu komisijas locekļi:</w:t>
      </w:r>
    </w:p>
    <w:p w:rsidR="00101C1F" w:rsidRPr="00101C1F" w:rsidRDefault="00101C1F" w:rsidP="001C70C9">
      <w:pPr>
        <w:pStyle w:val="NoSpacing"/>
        <w:ind w:right="-766"/>
        <w:jc w:val="both"/>
        <w:rPr>
          <w:rFonts w:ascii="Times New Roman" w:hAnsi="Times New Roman"/>
          <w:sz w:val="24"/>
          <w:szCs w:val="24"/>
        </w:rPr>
      </w:pPr>
      <w:r w:rsidRPr="00101C1F">
        <w:rPr>
          <w:rFonts w:ascii="Times New Roman" w:hAnsi="Times New Roman"/>
          <w:sz w:val="24"/>
          <w:szCs w:val="24"/>
        </w:rPr>
        <w:t>Pārvaldes centrālā aparāta Tiesvedības daļas galvenā juriste kapteine Olga Sparāne;</w:t>
      </w:r>
    </w:p>
    <w:p w:rsidR="00101C1F" w:rsidRPr="00101C1F" w:rsidRDefault="00101C1F" w:rsidP="001C70C9">
      <w:pPr>
        <w:pStyle w:val="NoSpacing"/>
        <w:ind w:right="-1"/>
        <w:jc w:val="both"/>
        <w:rPr>
          <w:rFonts w:ascii="Times New Roman" w:hAnsi="Times New Roman"/>
          <w:sz w:val="24"/>
          <w:szCs w:val="24"/>
        </w:rPr>
      </w:pPr>
      <w:r w:rsidRPr="00101C1F">
        <w:rPr>
          <w:rFonts w:ascii="Times New Roman" w:hAnsi="Times New Roman"/>
          <w:sz w:val="24"/>
          <w:szCs w:val="24"/>
        </w:rPr>
        <w:t>Pārvaldes centrālā aparāta Projektu izstrādes daļas vecākā referente kapteine Una Zvaigzne;</w:t>
      </w:r>
    </w:p>
    <w:p w:rsidR="00101C1F" w:rsidRDefault="00101C1F" w:rsidP="001C70C9">
      <w:pPr>
        <w:pStyle w:val="NoSpacing"/>
        <w:ind w:right="-766"/>
        <w:jc w:val="both"/>
        <w:rPr>
          <w:rFonts w:ascii="Times New Roman" w:hAnsi="Times New Roman"/>
          <w:sz w:val="24"/>
          <w:szCs w:val="24"/>
        </w:rPr>
      </w:pPr>
      <w:r w:rsidRPr="00101C1F">
        <w:rPr>
          <w:rFonts w:ascii="Times New Roman" w:hAnsi="Times New Roman"/>
          <w:sz w:val="24"/>
          <w:szCs w:val="24"/>
        </w:rPr>
        <w:t>Pārvaldes centrālā aparāta Apsardzes daļas galvenais ins</w:t>
      </w:r>
      <w:r w:rsidR="0049269C">
        <w:rPr>
          <w:rFonts w:ascii="Times New Roman" w:hAnsi="Times New Roman"/>
          <w:sz w:val="24"/>
          <w:szCs w:val="24"/>
        </w:rPr>
        <w:t>pektors majors Vadims Petruhins;</w:t>
      </w:r>
    </w:p>
    <w:p w:rsidR="0049269C" w:rsidRPr="00FA0721" w:rsidRDefault="0049269C" w:rsidP="001C70C9">
      <w:pPr>
        <w:pStyle w:val="NoSpacing"/>
        <w:ind w:right="-766"/>
        <w:jc w:val="both"/>
        <w:rPr>
          <w:rFonts w:ascii="Times New Roman" w:hAnsi="Times New Roman"/>
          <w:sz w:val="24"/>
          <w:szCs w:val="24"/>
        </w:rPr>
      </w:pPr>
      <w:r w:rsidRPr="0049269C">
        <w:rPr>
          <w:rFonts w:ascii="Times New Roman" w:hAnsi="Times New Roman"/>
          <w:sz w:val="24"/>
          <w:szCs w:val="24"/>
        </w:rPr>
        <w:t>Pārvaldes centrālā aparāta Uzraudzības daļas galvenais inspektors majors Madars Vekmanis</w:t>
      </w:r>
    </w:p>
    <w:p w:rsidR="00101C1F" w:rsidRPr="00101C1F" w:rsidRDefault="00101C1F" w:rsidP="001C70C9">
      <w:pPr>
        <w:ind w:right="-1"/>
        <w:jc w:val="both"/>
        <w:rPr>
          <w:b/>
          <w:lang w:val="lv-LV"/>
        </w:rPr>
      </w:pPr>
    </w:p>
    <w:p w:rsidR="00B67C54" w:rsidRPr="00101C1F" w:rsidRDefault="00565544" w:rsidP="001C70C9">
      <w:pPr>
        <w:ind w:right="-1"/>
        <w:jc w:val="both"/>
        <w:rPr>
          <w:lang w:val="lv-LV"/>
        </w:rPr>
      </w:pPr>
      <w:r w:rsidRPr="00101C1F">
        <w:rPr>
          <w:b/>
          <w:lang w:val="lv-LV"/>
        </w:rPr>
        <w:t>Iepirkumu</w:t>
      </w:r>
      <w:r w:rsidR="00B67C54" w:rsidRPr="00101C1F">
        <w:rPr>
          <w:b/>
          <w:lang w:val="lv-LV"/>
        </w:rPr>
        <w:t xml:space="preserve"> komisijas izveidošanas pamatojums</w:t>
      </w:r>
      <w:r w:rsidR="00B67C54" w:rsidRPr="00101C1F">
        <w:rPr>
          <w:lang w:val="lv-LV"/>
        </w:rPr>
        <w:t xml:space="preserve">: </w:t>
      </w:r>
      <w:r w:rsidRPr="00101C1F">
        <w:rPr>
          <w:lang w:val="lv-LV"/>
        </w:rPr>
        <w:t xml:space="preserve">Pārvaldes priekšnieka </w:t>
      </w:r>
      <w:r w:rsidR="009403E1" w:rsidRPr="00101C1F">
        <w:rPr>
          <w:lang w:val="lv-LV"/>
        </w:rPr>
        <w:t>2018. gada 2. janvāra rīkojumu Nr.1 "Par iepirkumu komisijas izveidošanu"</w:t>
      </w:r>
      <w:r w:rsidR="00B67C54" w:rsidRPr="00101C1F">
        <w:rPr>
          <w:lang w:val="lv-LV"/>
        </w:rPr>
        <w:t>.</w:t>
      </w:r>
    </w:p>
    <w:p w:rsidR="00F51744" w:rsidRPr="00101C1F" w:rsidRDefault="00F51744" w:rsidP="001C70C9">
      <w:pPr>
        <w:ind w:right="-1"/>
        <w:jc w:val="both"/>
        <w:rPr>
          <w:b/>
          <w:u w:val="single"/>
          <w:lang w:val="lv-LV"/>
        </w:rPr>
      </w:pPr>
      <w:r w:rsidRPr="00101C1F">
        <w:rPr>
          <w:b/>
          <w:u w:val="single"/>
          <w:lang w:val="lv-LV"/>
        </w:rPr>
        <w:t>Sagatavoja:</w:t>
      </w:r>
    </w:p>
    <w:p w:rsidR="00F51744" w:rsidRPr="00101C1F" w:rsidRDefault="0049269C" w:rsidP="001C70C9">
      <w:pPr>
        <w:ind w:right="-1"/>
        <w:jc w:val="both"/>
        <w:rPr>
          <w:lang w:val="lv-LV"/>
        </w:rPr>
      </w:pPr>
      <w:r w:rsidRPr="0049269C">
        <w:rPr>
          <w:lang w:val="lv-LV"/>
        </w:rPr>
        <w:t>Pārvaldes centrālā aparāta Iepirkumu un līgumu daļas galvenā speciāliste Inese Mazlazdiņa.</w:t>
      </w:r>
    </w:p>
    <w:p w:rsidR="007D10A5" w:rsidRPr="00101C1F" w:rsidRDefault="007D10A5" w:rsidP="001C70C9">
      <w:pPr>
        <w:ind w:right="-1"/>
        <w:jc w:val="both"/>
        <w:rPr>
          <w:b/>
          <w:lang w:val="lv-LV"/>
        </w:rPr>
      </w:pPr>
    </w:p>
    <w:p w:rsidR="007D10A5" w:rsidRPr="00101C1F" w:rsidRDefault="007D10A5" w:rsidP="001C70C9">
      <w:pPr>
        <w:ind w:right="-1"/>
        <w:jc w:val="both"/>
        <w:rPr>
          <w:lang w:val="lv-LV"/>
        </w:rPr>
      </w:pPr>
      <w:r w:rsidRPr="00101C1F">
        <w:rPr>
          <w:b/>
          <w:lang w:val="lv-LV"/>
        </w:rPr>
        <w:t xml:space="preserve">4. Piedāvājumu iesniegšanas termiņš: </w:t>
      </w:r>
      <w:r w:rsidR="009C6880" w:rsidRPr="00101C1F">
        <w:rPr>
          <w:lang w:val="lv-LV"/>
        </w:rPr>
        <w:t xml:space="preserve">2018.gada </w:t>
      </w:r>
      <w:r w:rsidR="0049269C">
        <w:rPr>
          <w:lang w:val="lv-LV"/>
        </w:rPr>
        <w:t>30.jūlijam</w:t>
      </w:r>
      <w:r w:rsidR="009C6880" w:rsidRPr="00101C1F">
        <w:rPr>
          <w:lang w:val="lv-LV"/>
        </w:rPr>
        <w:t>, plkst.11.00</w:t>
      </w:r>
    </w:p>
    <w:p w:rsidR="002E5C1C" w:rsidRPr="00101C1F" w:rsidRDefault="002E5C1C" w:rsidP="001C70C9">
      <w:pPr>
        <w:ind w:right="-1"/>
        <w:jc w:val="both"/>
        <w:rPr>
          <w:b/>
          <w:lang w:val="lv-LV"/>
        </w:rPr>
      </w:pPr>
    </w:p>
    <w:p w:rsidR="007D10A5" w:rsidRPr="00101C1F" w:rsidRDefault="0049269C" w:rsidP="001C70C9">
      <w:pPr>
        <w:ind w:right="-1"/>
        <w:jc w:val="both"/>
        <w:rPr>
          <w:b/>
        </w:rPr>
      </w:pPr>
      <w:r>
        <w:rPr>
          <w:b/>
        </w:rPr>
        <w:t xml:space="preserve">5. </w:t>
      </w:r>
      <w:proofErr w:type="spellStart"/>
      <w:r>
        <w:rPr>
          <w:b/>
        </w:rPr>
        <w:t>Piedāvājumu</w:t>
      </w:r>
      <w:proofErr w:type="spellEnd"/>
      <w:r w:rsidR="007D10A5" w:rsidRPr="00101C1F">
        <w:rPr>
          <w:b/>
        </w:rPr>
        <w:t xml:space="preserve"> </w:t>
      </w:r>
      <w:proofErr w:type="spellStart"/>
      <w:r w:rsidR="007D10A5" w:rsidRPr="00101C1F">
        <w:rPr>
          <w:b/>
        </w:rPr>
        <w:t>iesnieguš</w:t>
      </w:r>
      <w:r>
        <w:rPr>
          <w:b/>
        </w:rPr>
        <w:t>ais</w:t>
      </w:r>
      <w:proofErr w:type="spellEnd"/>
      <w:r w:rsidR="007D10A5" w:rsidRPr="00101C1F">
        <w:rPr>
          <w:b/>
        </w:rPr>
        <w:t xml:space="preserve"> </w:t>
      </w:r>
      <w:proofErr w:type="spellStart"/>
      <w:r w:rsidR="007D10A5" w:rsidRPr="00101C1F">
        <w:rPr>
          <w:b/>
        </w:rPr>
        <w:t>pretendent</w:t>
      </w:r>
      <w:r>
        <w:rPr>
          <w:b/>
        </w:rPr>
        <w:t>s</w:t>
      </w:r>
      <w:proofErr w:type="spellEnd"/>
      <w:r w:rsidR="007D10A5" w:rsidRPr="00101C1F">
        <w:rPr>
          <w:b/>
        </w:rPr>
        <w:t>:</w:t>
      </w:r>
    </w:p>
    <w:p w:rsidR="007D10A5" w:rsidRPr="00101C1F" w:rsidRDefault="007D10A5" w:rsidP="001C70C9">
      <w:pPr>
        <w:ind w:right="-1"/>
        <w:jc w:val="both"/>
        <w:rPr>
          <w:b/>
          <w:lang w:val="lv-LV"/>
        </w:rPr>
      </w:pPr>
    </w:p>
    <w:tbl>
      <w:tblPr>
        <w:tblStyle w:val="TableGrid32"/>
        <w:tblW w:w="5000" w:type="pct"/>
        <w:tblLayout w:type="fixed"/>
        <w:tblLook w:val="04A0" w:firstRow="1" w:lastRow="0" w:firstColumn="1" w:lastColumn="0" w:noHBand="0" w:noVBand="1"/>
      </w:tblPr>
      <w:tblGrid>
        <w:gridCol w:w="936"/>
        <w:gridCol w:w="3459"/>
        <w:gridCol w:w="1935"/>
        <w:gridCol w:w="2731"/>
      </w:tblGrid>
      <w:tr w:rsidR="0049269C" w:rsidRPr="0049269C" w:rsidTr="0049269C">
        <w:tc>
          <w:tcPr>
            <w:tcW w:w="516" w:type="pct"/>
            <w:shd w:val="pct5" w:color="auto" w:fill="auto"/>
          </w:tcPr>
          <w:p w:rsidR="0049269C" w:rsidRPr="0049269C" w:rsidRDefault="0049269C" w:rsidP="001C70C9">
            <w:pPr>
              <w:jc w:val="both"/>
              <w:rPr>
                <w:b/>
                <w:bCs/>
                <w:szCs w:val="26"/>
                <w:lang w:val="lv-LV" w:eastAsia="en-US"/>
              </w:rPr>
            </w:pPr>
            <w:proofErr w:type="spellStart"/>
            <w:r w:rsidRPr="0049269C">
              <w:rPr>
                <w:b/>
                <w:bCs/>
                <w:szCs w:val="26"/>
                <w:lang w:val="lv-LV" w:eastAsia="en-US"/>
              </w:rPr>
              <w:t>N.p.k</w:t>
            </w:r>
            <w:proofErr w:type="spellEnd"/>
            <w:r w:rsidRPr="0049269C">
              <w:rPr>
                <w:b/>
                <w:bCs/>
                <w:szCs w:val="26"/>
                <w:lang w:val="lv-LV" w:eastAsia="en-US"/>
              </w:rPr>
              <w:t>.</w:t>
            </w:r>
          </w:p>
        </w:tc>
        <w:tc>
          <w:tcPr>
            <w:tcW w:w="1909" w:type="pct"/>
            <w:shd w:val="pct5" w:color="auto" w:fill="auto"/>
          </w:tcPr>
          <w:p w:rsidR="0049269C" w:rsidRPr="0049269C" w:rsidRDefault="0049269C" w:rsidP="001C70C9">
            <w:pPr>
              <w:jc w:val="both"/>
              <w:rPr>
                <w:b/>
                <w:bCs/>
                <w:szCs w:val="26"/>
                <w:lang w:val="lv-LV" w:eastAsia="en-US"/>
              </w:rPr>
            </w:pPr>
            <w:r w:rsidRPr="0049269C">
              <w:rPr>
                <w:b/>
                <w:bCs/>
                <w:szCs w:val="26"/>
                <w:lang w:val="lv-LV" w:eastAsia="en-US"/>
              </w:rPr>
              <w:t>Pretendents</w:t>
            </w:r>
          </w:p>
        </w:tc>
        <w:tc>
          <w:tcPr>
            <w:tcW w:w="1068" w:type="pct"/>
            <w:shd w:val="pct5" w:color="auto" w:fill="auto"/>
          </w:tcPr>
          <w:p w:rsidR="0049269C" w:rsidRPr="0049269C" w:rsidRDefault="0049269C" w:rsidP="001C70C9">
            <w:pPr>
              <w:jc w:val="both"/>
              <w:rPr>
                <w:b/>
                <w:bCs/>
                <w:szCs w:val="26"/>
                <w:lang w:val="lv-LV" w:eastAsia="en-US"/>
              </w:rPr>
            </w:pPr>
            <w:r w:rsidRPr="0049269C">
              <w:rPr>
                <w:b/>
                <w:bCs/>
                <w:szCs w:val="26"/>
                <w:lang w:val="lv-LV" w:eastAsia="en-US"/>
              </w:rPr>
              <w:t>Piedāvājuma iesniegšanas veids</w:t>
            </w:r>
          </w:p>
        </w:tc>
        <w:tc>
          <w:tcPr>
            <w:tcW w:w="1507" w:type="pct"/>
            <w:shd w:val="pct5" w:color="auto" w:fill="auto"/>
          </w:tcPr>
          <w:p w:rsidR="0049269C" w:rsidRPr="0049269C" w:rsidRDefault="0049269C" w:rsidP="001C70C9">
            <w:pPr>
              <w:jc w:val="both"/>
              <w:rPr>
                <w:b/>
                <w:bCs/>
                <w:szCs w:val="26"/>
                <w:lang w:val="lv-LV" w:eastAsia="en-US"/>
              </w:rPr>
            </w:pPr>
            <w:r w:rsidRPr="0049269C">
              <w:rPr>
                <w:b/>
                <w:bCs/>
                <w:szCs w:val="26"/>
                <w:lang w:val="lv-LV" w:eastAsia="en-US"/>
              </w:rPr>
              <w:t>Piedāvājuma iesniegšanas datums un laiks</w:t>
            </w:r>
          </w:p>
        </w:tc>
      </w:tr>
      <w:tr w:rsidR="0049269C" w:rsidRPr="0049269C" w:rsidTr="0049269C">
        <w:tc>
          <w:tcPr>
            <w:tcW w:w="516" w:type="pct"/>
          </w:tcPr>
          <w:p w:rsidR="0049269C" w:rsidRPr="0049269C" w:rsidRDefault="0049269C" w:rsidP="001C70C9">
            <w:pPr>
              <w:jc w:val="both"/>
              <w:rPr>
                <w:bCs/>
                <w:szCs w:val="26"/>
                <w:lang w:val="lv-LV" w:eastAsia="en-US"/>
              </w:rPr>
            </w:pPr>
            <w:r w:rsidRPr="0049269C">
              <w:rPr>
                <w:bCs/>
                <w:szCs w:val="26"/>
                <w:lang w:val="lv-LV" w:eastAsia="en-US"/>
              </w:rPr>
              <w:t>1.</w:t>
            </w:r>
          </w:p>
        </w:tc>
        <w:tc>
          <w:tcPr>
            <w:tcW w:w="1909" w:type="pct"/>
          </w:tcPr>
          <w:p w:rsidR="0049269C" w:rsidRPr="0049269C" w:rsidRDefault="0049269C" w:rsidP="001C70C9">
            <w:pPr>
              <w:jc w:val="both"/>
              <w:rPr>
                <w:bCs/>
                <w:szCs w:val="26"/>
                <w:lang w:val="lv-LV" w:eastAsia="en-US"/>
              </w:rPr>
            </w:pPr>
            <w:r w:rsidRPr="0049269C">
              <w:rPr>
                <w:bCs/>
                <w:szCs w:val="26"/>
                <w:lang w:val="lv-LV" w:eastAsia="en-US"/>
              </w:rPr>
              <w:t>"VAAB" PS</w:t>
            </w:r>
          </w:p>
        </w:tc>
        <w:tc>
          <w:tcPr>
            <w:tcW w:w="1068" w:type="pct"/>
          </w:tcPr>
          <w:p w:rsidR="0049269C" w:rsidRPr="0049269C" w:rsidRDefault="0049269C" w:rsidP="001C70C9">
            <w:pPr>
              <w:jc w:val="both"/>
              <w:rPr>
                <w:bCs/>
                <w:szCs w:val="26"/>
                <w:lang w:val="lv-LV" w:eastAsia="en-US"/>
              </w:rPr>
            </w:pPr>
            <w:r w:rsidRPr="0049269C">
              <w:rPr>
                <w:bCs/>
                <w:szCs w:val="26"/>
                <w:lang w:val="lv-LV" w:eastAsia="en-US"/>
              </w:rPr>
              <w:t>Sistēmā</w:t>
            </w:r>
          </w:p>
        </w:tc>
        <w:tc>
          <w:tcPr>
            <w:tcW w:w="1507" w:type="pct"/>
          </w:tcPr>
          <w:p w:rsidR="0049269C" w:rsidRPr="0049269C" w:rsidRDefault="0049269C" w:rsidP="001C70C9">
            <w:pPr>
              <w:jc w:val="both"/>
              <w:rPr>
                <w:bCs/>
                <w:szCs w:val="26"/>
                <w:lang w:val="lv-LV" w:eastAsia="en-US"/>
              </w:rPr>
            </w:pPr>
            <w:r w:rsidRPr="0049269C">
              <w:rPr>
                <w:bCs/>
                <w:szCs w:val="26"/>
                <w:lang w:val="lv-LV" w:eastAsia="en-US"/>
              </w:rPr>
              <w:t>30.07.2018 plkst. 08:13</w:t>
            </w:r>
          </w:p>
        </w:tc>
      </w:tr>
    </w:tbl>
    <w:p w:rsidR="007A721F" w:rsidRDefault="007A721F" w:rsidP="001C70C9">
      <w:pPr>
        <w:spacing w:after="120"/>
        <w:ind w:right="-1"/>
        <w:jc w:val="both"/>
        <w:rPr>
          <w:lang w:val="lv-LV"/>
        </w:rPr>
      </w:pPr>
    </w:p>
    <w:p w:rsidR="0049269C" w:rsidRDefault="0049269C" w:rsidP="001C70C9">
      <w:pPr>
        <w:spacing w:after="120"/>
        <w:ind w:right="-1"/>
        <w:jc w:val="both"/>
        <w:rPr>
          <w:lang w:val="lv-LV"/>
        </w:rPr>
      </w:pPr>
    </w:p>
    <w:p w:rsidR="0049269C" w:rsidRDefault="0049269C" w:rsidP="001C70C9">
      <w:pPr>
        <w:spacing w:after="120"/>
        <w:ind w:right="-1"/>
        <w:jc w:val="both"/>
        <w:rPr>
          <w:lang w:val="lv-LV"/>
        </w:rPr>
      </w:pPr>
    </w:p>
    <w:p w:rsidR="0049269C" w:rsidRDefault="0049269C" w:rsidP="001C70C9">
      <w:pPr>
        <w:spacing w:after="120"/>
        <w:ind w:right="-1"/>
        <w:jc w:val="both"/>
        <w:rPr>
          <w:lang w:val="lv-LV"/>
        </w:rPr>
      </w:pPr>
    </w:p>
    <w:p w:rsidR="0049269C" w:rsidRDefault="0049269C" w:rsidP="001C70C9">
      <w:pPr>
        <w:spacing w:after="120"/>
        <w:ind w:right="-1"/>
        <w:jc w:val="both"/>
        <w:rPr>
          <w:lang w:val="lv-LV"/>
        </w:rPr>
      </w:pPr>
    </w:p>
    <w:p w:rsidR="007D10A5" w:rsidRDefault="007D10A5" w:rsidP="001C70C9">
      <w:pPr>
        <w:spacing w:after="120"/>
        <w:ind w:right="-1"/>
        <w:jc w:val="both"/>
        <w:rPr>
          <w:lang w:val="lv-LV"/>
        </w:rPr>
      </w:pPr>
      <w:r w:rsidRPr="00101C1F">
        <w:rPr>
          <w:lang w:val="lv-LV"/>
        </w:rPr>
        <w:t>Pretendentu finanšu piedāvājumi:</w:t>
      </w:r>
    </w:p>
    <w:tbl>
      <w:tblPr>
        <w:tblStyle w:val="TableGrid5"/>
        <w:tblW w:w="5000" w:type="pct"/>
        <w:tblLayout w:type="fixed"/>
        <w:tblLook w:val="04A0" w:firstRow="1" w:lastRow="0" w:firstColumn="1" w:lastColumn="0" w:noHBand="0" w:noVBand="1"/>
      </w:tblPr>
      <w:tblGrid>
        <w:gridCol w:w="2180"/>
        <w:gridCol w:w="2075"/>
        <w:gridCol w:w="2450"/>
        <w:gridCol w:w="2356"/>
      </w:tblGrid>
      <w:tr w:rsidR="0049269C" w:rsidRPr="0049269C" w:rsidTr="0049269C">
        <w:tc>
          <w:tcPr>
            <w:tcW w:w="1203" w:type="pct"/>
            <w:shd w:val="pct10" w:color="auto" w:fill="auto"/>
          </w:tcPr>
          <w:p w:rsidR="0049269C" w:rsidRPr="0049269C" w:rsidRDefault="0049269C" w:rsidP="001C70C9">
            <w:pPr>
              <w:jc w:val="both"/>
              <w:rPr>
                <w:b/>
                <w:bCs/>
                <w:lang w:val="lv-LV"/>
              </w:rPr>
            </w:pPr>
            <w:r w:rsidRPr="0049269C">
              <w:rPr>
                <w:b/>
                <w:bCs/>
                <w:lang w:val="lv-LV"/>
              </w:rPr>
              <w:t>Pretendents</w:t>
            </w:r>
          </w:p>
        </w:tc>
        <w:tc>
          <w:tcPr>
            <w:tcW w:w="1145" w:type="pct"/>
            <w:shd w:val="pct10" w:color="auto" w:fill="auto"/>
          </w:tcPr>
          <w:p w:rsidR="0049269C" w:rsidRPr="0049269C" w:rsidRDefault="0049269C" w:rsidP="001C70C9">
            <w:pPr>
              <w:jc w:val="both"/>
              <w:rPr>
                <w:b/>
                <w:bCs/>
                <w:lang w:val="lv-LV"/>
              </w:rPr>
            </w:pPr>
            <w:r w:rsidRPr="0049269C">
              <w:rPr>
                <w:b/>
                <w:bCs/>
                <w:lang w:val="lv-LV"/>
              </w:rPr>
              <w:t>Iesniegšanas datums un laiks</w:t>
            </w:r>
          </w:p>
        </w:tc>
        <w:tc>
          <w:tcPr>
            <w:tcW w:w="1352" w:type="pct"/>
            <w:shd w:val="pct10" w:color="auto" w:fill="auto"/>
          </w:tcPr>
          <w:p w:rsidR="0049269C" w:rsidRPr="0049269C" w:rsidRDefault="0049269C" w:rsidP="001C70C9">
            <w:pPr>
              <w:jc w:val="both"/>
              <w:rPr>
                <w:b/>
                <w:bCs/>
                <w:lang w:val="lv-LV"/>
              </w:rPr>
            </w:pPr>
            <w:r w:rsidRPr="0049269C">
              <w:rPr>
                <w:b/>
                <w:lang w:val="lv-LV"/>
              </w:rPr>
              <w:t>Finanšu piedāvājums</w:t>
            </w:r>
          </w:p>
        </w:tc>
        <w:tc>
          <w:tcPr>
            <w:tcW w:w="1300" w:type="pct"/>
            <w:shd w:val="pct10" w:color="auto" w:fill="auto"/>
          </w:tcPr>
          <w:p w:rsidR="0049269C" w:rsidRPr="0049269C" w:rsidRDefault="0049269C" w:rsidP="001C70C9">
            <w:pPr>
              <w:jc w:val="both"/>
              <w:rPr>
                <w:b/>
                <w:bCs/>
                <w:lang w:val="lv-LV"/>
              </w:rPr>
            </w:pPr>
            <w:r w:rsidRPr="0049269C">
              <w:rPr>
                <w:b/>
                <w:lang w:val="lv-LV"/>
              </w:rPr>
              <w:t>Darbu izpildes tāme</w:t>
            </w:r>
          </w:p>
        </w:tc>
      </w:tr>
      <w:tr w:rsidR="0049269C" w:rsidRPr="0049269C" w:rsidTr="0049269C">
        <w:tc>
          <w:tcPr>
            <w:tcW w:w="1203" w:type="pct"/>
          </w:tcPr>
          <w:p w:rsidR="0049269C" w:rsidRPr="0049269C" w:rsidRDefault="0049269C" w:rsidP="001C70C9">
            <w:pPr>
              <w:jc w:val="both"/>
              <w:rPr>
                <w:bCs/>
                <w:lang w:val="lv-LV"/>
              </w:rPr>
            </w:pPr>
            <w:r w:rsidRPr="0049269C">
              <w:rPr>
                <w:lang w:val="lv-LV"/>
              </w:rPr>
              <w:t>"VAAB" PS</w:t>
            </w:r>
          </w:p>
        </w:tc>
        <w:tc>
          <w:tcPr>
            <w:tcW w:w="1145" w:type="pct"/>
          </w:tcPr>
          <w:p w:rsidR="0049269C" w:rsidRPr="0049269C" w:rsidRDefault="0049269C" w:rsidP="001C70C9">
            <w:pPr>
              <w:jc w:val="both"/>
              <w:rPr>
                <w:bCs/>
                <w:lang w:val="lv-LV"/>
              </w:rPr>
            </w:pPr>
            <w:r w:rsidRPr="0049269C">
              <w:rPr>
                <w:lang w:val="lv-LV"/>
              </w:rPr>
              <w:t>30.07.2018 plkst. 08:13</w:t>
            </w:r>
          </w:p>
        </w:tc>
        <w:tc>
          <w:tcPr>
            <w:tcW w:w="1352" w:type="pct"/>
          </w:tcPr>
          <w:p w:rsidR="0049269C" w:rsidRPr="0049269C" w:rsidRDefault="0049269C" w:rsidP="001C70C9">
            <w:pPr>
              <w:jc w:val="both"/>
              <w:rPr>
                <w:lang w:val="lv-LV"/>
              </w:rPr>
            </w:pPr>
            <w:r w:rsidRPr="0049269C">
              <w:rPr>
                <w:lang w:val="lv-LV"/>
              </w:rPr>
              <w:t>EIRO 300695.5</w:t>
            </w:r>
          </w:p>
          <w:p w:rsidR="0049269C" w:rsidRPr="0049269C" w:rsidRDefault="0049269C" w:rsidP="001C70C9">
            <w:pPr>
              <w:jc w:val="both"/>
              <w:rPr>
                <w:bCs/>
                <w:lang w:val="lv-LV"/>
              </w:rPr>
            </w:pPr>
            <w:r w:rsidRPr="0049269C">
              <w:rPr>
                <w:i/>
                <w:sz w:val="16"/>
                <w:szCs w:val="16"/>
                <w:lang w:val="lv-LV"/>
              </w:rPr>
              <w:t>003_Finansu piedav_4.pielik.edoc</w:t>
            </w:r>
          </w:p>
        </w:tc>
        <w:tc>
          <w:tcPr>
            <w:tcW w:w="1300" w:type="pct"/>
          </w:tcPr>
          <w:p w:rsidR="0049269C" w:rsidRPr="0049269C" w:rsidRDefault="0049269C" w:rsidP="001C70C9">
            <w:pPr>
              <w:jc w:val="both"/>
              <w:rPr>
                <w:lang w:val="lv-LV"/>
              </w:rPr>
            </w:pPr>
          </w:p>
          <w:p w:rsidR="0049269C" w:rsidRPr="0049269C" w:rsidRDefault="0049269C" w:rsidP="001C70C9">
            <w:pPr>
              <w:jc w:val="both"/>
              <w:rPr>
                <w:bCs/>
                <w:lang w:val="lv-LV"/>
              </w:rPr>
            </w:pPr>
            <w:r w:rsidRPr="0049269C">
              <w:rPr>
                <w:i/>
                <w:sz w:val="16"/>
                <w:szCs w:val="16"/>
                <w:lang w:val="lv-LV"/>
              </w:rPr>
              <w:t xml:space="preserve">001_Darbu izpildes tame.pdf; 002_Darbu izpildes </w:t>
            </w:r>
            <w:proofErr w:type="spellStart"/>
            <w:r w:rsidRPr="0049269C">
              <w:rPr>
                <w:i/>
                <w:sz w:val="16"/>
                <w:szCs w:val="16"/>
                <w:lang w:val="lv-LV"/>
              </w:rPr>
              <w:t>tame</w:t>
            </w:r>
            <w:proofErr w:type="spellEnd"/>
            <w:r w:rsidRPr="0049269C">
              <w:rPr>
                <w:i/>
                <w:sz w:val="16"/>
                <w:szCs w:val="16"/>
                <w:lang w:val="lv-LV"/>
              </w:rPr>
              <w:t xml:space="preserve"> un darba </w:t>
            </w:r>
            <w:proofErr w:type="spellStart"/>
            <w:r w:rsidRPr="0049269C">
              <w:rPr>
                <w:i/>
                <w:sz w:val="16"/>
                <w:szCs w:val="16"/>
                <w:lang w:val="lv-LV"/>
              </w:rPr>
              <w:t>kalendarais</w:t>
            </w:r>
            <w:proofErr w:type="spellEnd"/>
            <w:r w:rsidRPr="0049269C">
              <w:rPr>
                <w:i/>
                <w:sz w:val="16"/>
                <w:szCs w:val="16"/>
                <w:lang w:val="lv-LV"/>
              </w:rPr>
              <w:t xml:space="preserve"> grafiks.xls</w:t>
            </w:r>
          </w:p>
        </w:tc>
      </w:tr>
    </w:tbl>
    <w:p w:rsidR="00E82E97" w:rsidRPr="0049269C" w:rsidRDefault="00E82E97" w:rsidP="001C70C9">
      <w:pPr>
        <w:ind w:right="-1"/>
        <w:jc w:val="both"/>
        <w:rPr>
          <w:b/>
          <w:lang w:val="lv-LV"/>
        </w:rPr>
      </w:pPr>
    </w:p>
    <w:p w:rsidR="00E82E97" w:rsidRPr="0049269C" w:rsidRDefault="00E82E97" w:rsidP="001C70C9">
      <w:pPr>
        <w:ind w:right="-1"/>
        <w:jc w:val="both"/>
        <w:rPr>
          <w:lang w:val="lv-LV"/>
        </w:rPr>
      </w:pPr>
      <w:r w:rsidRPr="0049269C">
        <w:rPr>
          <w:b/>
          <w:lang w:val="lv-LV"/>
        </w:rPr>
        <w:t>6. Piedāvājumu atvēršanas vieta, datums un laiks:</w:t>
      </w:r>
      <w:r w:rsidR="001F197B" w:rsidRPr="0049269C">
        <w:rPr>
          <w:b/>
          <w:lang w:val="lv-LV"/>
        </w:rPr>
        <w:t xml:space="preserve"> </w:t>
      </w:r>
      <w:r w:rsidR="001F197B" w:rsidRPr="0049269C">
        <w:rPr>
          <w:lang w:val="lv-LV"/>
        </w:rPr>
        <w:t xml:space="preserve">ELEKTRONISKI, izmantojot Valsts reģionālās attīstības aģentūras mājaslapā pieejamo Elektronisko iepirkumu sistēmas (turpmāk – Elektronisko iepirkumu sistēma) e-konkursu apakšsistēmu, 2018.gada </w:t>
      </w:r>
      <w:r w:rsidR="0049269C">
        <w:rPr>
          <w:lang w:val="lv-LV"/>
        </w:rPr>
        <w:t>30. jūlijā</w:t>
      </w:r>
      <w:r w:rsidR="001F197B" w:rsidRPr="0049269C">
        <w:rPr>
          <w:lang w:val="lv-LV"/>
        </w:rPr>
        <w:t>, plkst.11.00.</w:t>
      </w:r>
    </w:p>
    <w:p w:rsidR="007D10A5" w:rsidRPr="00101C1F" w:rsidRDefault="007D10A5" w:rsidP="001C70C9">
      <w:pPr>
        <w:ind w:right="-1"/>
        <w:jc w:val="both"/>
        <w:rPr>
          <w:b/>
          <w:lang w:val="lv-LV"/>
        </w:rPr>
      </w:pPr>
    </w:p>
    <w:p w:rsidR="00B67C54" w:rsidRPr="00101C1F" w:rsidRDefault="00E82E97" w:rsidP="001C70C9">
      <w:pPr>
        <w:ind w:right="-1"/>
        <w:jc w:val="both"/>
        <w:rPr>
          <w:b/>
          <w:lang w:val="lv-LV"/>
        </w:rPr>
      </w:pPr>
      <w:r w:rsidRPr="00101C1F">
        <w:rPr>
          <w:b/>
          <w:lang w:val="lv-LV"/>
        </w:rPr>
        <w:t>7</w:t>
      </w:r>
      <w:r w:rsidR="00B67C54" w:rsidRPr="00101C1F">
        <w:rPr>
          <w:b/>
          <w:lang w:val="lv-LV"/>
        </w:rPr>
        <w:t>. Pretendentiem noteiktās kvalifikācijas prasība</w:t>
      </w:r>
      <w:r w:rsidR="00BE43ED" w:rsidRPr="00101C1F">
        <w:rPr>
          <w:b/>
          <w:lang w:val="lv-LV"/>
        </w:rPr>
        <w:t xml:space="preserve">s, saskaņā ar iepirkuma </w:t>
      </w:r>
      <w:proofErr w:type="spellStart"/>
      <w:r w:rsidR="00620D36" w:rsidRPr="00101C1F">
        <w:rPr>
          <w:b/>
          <w:lang w:val="lv-LV"/>
        </w:rPr>
        <w:t>IeVP</w:t>
      </w:r>
      <w:proofErr w:type="spellEnd"/>
      <w:r w:rsidR="00620D36" w:rsidRPr="00101C1F">
        <w:rPr>
          <w:b/>
          <w:lang w:val="lv-LV"/>
        </w:rPr>
        <w:t xml:space="preserve"> </w:t>
      </w:r>
      <w:r w:rsidR="00B67C54" w:rsidRPr="00101C1F">
        <w:rPr>
          <w:b/>
          <w:lang w:val="lv-LV"/>
        </w:rPr>
        <w:t>201</w:t>
      </w:r>
      <w:r w:rsidR="009403E1" w:rsidRPr="00101C1F">
        <w:rPr>
          <w:b/>
          <w:lang w:val="lv-LV"/>
        </w:rPr>
        <w:t>8</w:t>
      </w:r>
      <w:r w:rsidR="00B67C54" w:rsidRPr="00101C1F">
        <w:rPr>
          <w:b/>
          <w:lang w:val="lv-LV"/>
        </w:rPr>
        <w:t>/</w:t>
      </w:r>
      <w:r w:rsidR="001F197B" w:rsidRPr="00101C1F">
        <w:rPr>
          <w:b/>
          <w:lang w:val="lv-LV"/>
        </w:rPr>
        <w:t>49</w:t>
      </w:r>
      <w:r w:rsidR="00B67C54" w:rsidRPr="00101C1F">
        <w:rPr>
          <w:b/>
          <w:lang w:val="lv-LV"/>
        </w:rPr>
        <w:t xml:space="preserve"> nolikumā </w:t>
      </w:r>
      <w:r w:rsidR="00E056F3" w:rsidRPr="00101C1F">
        <w:rPr>
          <w:b/>
          <w:lang w:val="lv-LV"/>
        </w:rPr>
        <w:t xml:space="preserve">(turpmāk – Nolikums) </w:t>
      </w:r>
      <w:r w:rsidR="00B67C54" w:rsidRPr="00101C1F">
        <w:rPr>
          <w:b/>
          <w:lang w:val="lv-LV"/>
        </w:rPr>
        <w:t>noteiktām prasībām</w:t>
      </w:r>
      <w:r w:rsidR="00E232B3" w:rsidRPr="00101C1F">
        <w:rPr>
          <w:b/>
          <w:lang w:val="lv-LV"/>
        </w:rPr>
        <w:t>, pārbaudes rezultāti attiecībā uz pretendentiem</w:t>
      </w:r>
      <w:r w:rsidR="00B67C54" w:rsidRPr="00101C1F">
        <w:rPr>
          <w:b/>
          <w:lang w:val="lv-LV"/>
        </w:rPr>
        <w:t>:</w:t>
      </w:r>
    </w:p>
    <w:tbl>
      <w:tblPr>
        <w:tblStyle w:val="TableGrid2"/>
        <w:tblW w:w="5000" w:type="pct"/>
        <w:tblLayout w:type="fixed"/>
        <w:tblLook w:val="04A0" w:firstRow="1" w:lastRow="0" w:firstColumn="1" w:lastColumn="0" w:noHBand="0" w:noVBand="1"/>
      </w:tblPr>
      <w:tblGrid>
        <w:gridCol w:w="1553"/>
        <w:gridCol w:w="7508"/>
      </w:tblGrid>
      <w:tr w:rsidR="001F197B" w:rsidRPr="00101C1F" w:rsidTr="00047DDA">
        <w:tc>
          <w:tcPr>
            <w:tcW w:w="857" w:type="pct"/>
            <w:vAlign w:val="center"/>
          </w:tcPr>
          <w:p w:rsidR="001F197B" w:rsidRPr="00101C1F" w:rsidRDefault="001F197B" w:rsidP="001C70C9">
            <w:pPr>
              <w:jc w:val="both"/>
              <w:rPr>
                <w:lang w:val="lv-LV"/>
              </w:rPr>
            </w:pPr>
            <w:r w:rsidRPr="00101C1F">
              <w:rPr>
                <w:lang w:val="lv-LV"/>
              </w:rPr>
              <w:t>Nolikuma apakšpunkta Nr.</w:t>
            </w:r>
          </w:p>
        </w:tc>
        <w:tc>
          <w:tcPr>
            <w:tcW w:w="4143" w:type="pct"/>
            <w:vAlign w:val="center"/>
          </w:tcPr>
          <w:p w:rsidR="001F197B" w:rsidRPr="00101C1F" w:rsidRDefault="001F197B" w:rsidP="001C70C9">
            <w:pPr>
              <w:ind w:right="448"/>
              <w:jc w:val="both"/>
              <w:rPr>
                <w:lang w:val="lv-LV"/>
              </w:rPr>
            </w:pPr>
            <w:r w:rsidRPr="00101C1F">
              <w:rPr>
                <w:lang w:val="lv-LV"/>
              </w:rPr>
              <w:t>Nolikuma prasības</w:t>
            </w:r>
          </w:p>
        </w:tc>
      </w:tr>
      <w:tr w:rsidR="001F197B" w:rsidRPr="00101C1F" w:rsidTr="00047DDA">
        <w:tc>
          <w:tcPr>
            <w:tcW w:w="857" w:type="pct"/>
            <w:vAlign w:val="center"/>
          </w:tcPr>
          <w:p w:rsidR="001F197B" w:rsidRPr="00101C1F" w:rsidRDefault="001F197B" w:rsidP="001C70C9">
            <w:pPr>
              <w:jc w:val="both"/>
              <w:rPr>
                <w:lang w:val="lv-LV"/>
              </w:rPr>
            </w:pPr>
            <w:r w:rsidRPr="00101C1F">
              <w:rPr>
                <w:rFonts w:eastAsia="Calibri"/>
              </w:rPr>
              <w:t>4.1.1.</w:t>
            </w:r>
          </w:p>
        </w:tc>
        <w:tc>
          <w:tcPr>
            <w:tcW w:w="4143" w:type="pct"/>
            <w:vAlign w:val="center"/>
          </w:tcPr>
          <w:p w:rsidR="001F197B" w:rsidRPr="00101C1F" w:rsidRDefault="001C70C9" w:rsidP="001C70C9">
            <w:pPr>
              <w:ind w:right="448"/>
              <w:jc w:val="both"/>
              <w:rPr>
                <w:lang w:val="lv-LV"/>
              </w:rPr>
            </w:pPr>
            <w:r w:rsidRPr="001C70C9">
              <w:rPr>
                <w:rFonts w:eastAsia="Calibri"/>
                <w:lang w:val="lv-LV"/>
              </w:rPr>
              <w:t>apliecinājums, ka pretendents nav izslēgts no būvkomersanta reģistra;</w:t>
            </w:r>
          </w:p>
        </w:tc>
      </w:tr>
      <w:tr w:rsidR="001F197B" w:rsidRPr="001C70C9" w:rsidTr="00047DDA">
        <w:tc>
          <w:tcPr>
            <w:tcW w:w="857" w:type="pct"/>
            <w:vAlign w:val="center"/>
          </w:tcPr>
          <w:p w:rsidR="001F197B" w:rsidRPr="00101C1F" w:rsidRDefault="001F197B" w:rsidP="001C70C9">
            <w:pPr>
              <w:jc w:val="both"/>
              <w:rPr>
                <w:lang w:val="lv-LV"/>
              </w:rPr>
            </w:pPr>
            <w:r w:rsidRPr="00101C1F">
              <w:rPr>
                <w:lang w:val="lv-LV"/>
              </w:rPr>
              <w:t>4.1.2.</w:t>
            </w:r>
          </w:p>
        </w:tc>
        <w:tc>
          <w:tcPr>
            <w:tcW w:w="4143" w:type="pct"/>
            <w:vAlign w:val="center"/>
          </w:tcPr>
          <w:p w:rsidR="001F197B" w:rsidRPr="00101C1F" w:rsidRDefault="001C70C9" w:rsidP="001C70C9">
            <w:pPr>
              <w:ind w:right="448"/>
              <w:jc w:val="both"/>
              <w:rPr>
                <w:lang w:val="lv-LV"/>
              </w:rPr>
            </w:pPr>
            <w:r w:rsidRPr="001C70C9">
              <w:rPr>
                <w:lang w:val="lv-LV"/>
              </w:rPr>
              <w:t>apliecinājums, ka pretendents ir reģistrēts, licencēts vai sertificēts atbilstoši attiecīgās valsts normatīvo aktu prasībām (Būvniecības likuma 22. panta izpratnē, kā arī ņemot vērā Ministru kabineta 2018. gada 20.marta noteikumu Nr.169 "</w:t>
            </w:r>
            <w:proofErr w:type="spellStart"/>
            <w:r w:rsidRPr="001C70C9">
              <w:rPr>
                <w:lang w:val="lv-LV"/>
              </w:rPr>
              <w:t>Būvspeciālistu</w:t>
            </w:r>
            <w:proofErr w:type="spellEnd"/>
            <w:r w:rsidRPr="001C70C9">
              <w:rPr>
                <w:lang w:val="lv-LV"/>
              </w:rPr>
              <w:t xml:space="preserve"> kompetences novērtēšanas un patstāvīgās prakses uzraudzības noteikumi" regulējumu) un tam ir tiesības veikt ēku būvdarbu vadīšanu;</w:t>
            </w:r>
          </w:p>
        </w:tc>
      </w:tr>
      <w:tr w:rsidR="001F197B" w:rsidRPr="0049269C" w:rsidTr="00047DDA">
        <w:tc>
          <w:tcPr>
            <w:tcW w:w="857" w:type="pct"/>
            <w:vAlign w:val="center"/>
          </w:tcPr>
          <w:p w:rsidR="001F197B" w:rsidRPr="00101C1F" w:rsidRDefault="001F197B" w:rsidP="001C70C9">
            <w:pPr>
              <w:jc w:val="both"/>
              <w:rPr>
                <w:lang w:val="lv-LV"/>
              </w:rPr>
            </w:pPr>
            <w:r w:rsidRPr="00101C1F">
              <w:rPr>
                <w:lang w:val="lv-LV"/>
              </w:rPr>
              <w:t>4.1.3.</w:t>
            </w:r>
          </w:p>
        </w:tc>
        <w:tc>
          <w:tcPr>
            <w:tcW w:w="4143" w:type="pct"/>
            <w:vAlign w:val="center"/>
          </w:tcPr>
          <w:p w:rsidR="001F197B" w:rsidRPr="00101C1F" w:rsidRDefault="001C70C9" w:rsidP="001C70C9">
            <w:pPr>
              <w:ind w:right="448"/>
              <w:jc w:val="both"/>
              <w:rPr>
                <w:lang w:val="lv-LV"/>
              </w:rPr>
            </w:pPr>
            <w:r w:rsidRPr="001C70C9">
              <w:rPr>
                <w:lang w:val="lv-LV"/>
              </w:rPr>
              <w:t>apliecinājums, ka pretendents darbojas būvdarbu izpildes jomā, un pēdējo 3 (trīs) gadu laikā pretendentam ir pieredze vismaz 2 (divu) Iepirkuma priekšmetam līdzīgo būvdarbu līgumu izpildē (atbilstoši Nolikuma 2. pielikumam).</w:t>
            </w:r>
          </w:p>
        </w:tc>
      </w:tr>
      <w:tr w:rsidR="001F197B" w:rsidRPr="0049269C" w:rsidTr="00047DDA">
        <w:tc>
          <w:tcPr>
            <w:tcW w:w="857" w:type="pct"/>
            <w:vAlign w:val="center"/>
          </w:tcPr>
          <w:p w:rsidR="001F197B" w:rsidRPr="00101C1F" w:rsidRDefault="001F197B" w:rsidP="001C70C9">
            <w:pPr>
              <w:jc w:val="both"/>
              <w:rPr>
                <w:lang w:val="lv-LV"/>
              </w:rPr>
            </w:pPr>
            <w:r w:rsidRPr="00101C1F">
              <w:rPr>
                <w:lang w:val="lv-LV"/>
              </w:rPr>
              <w:t>4.1.4.</w:t>
            </w:r>
          </w:p>
        </w:tc>
        <w:tc>
          <w:tcPr>
            <w:tcW w:w="4143" w:type="pct"/>
            <w:vAlign w:val="center"/>
          </w:tcPr>
          <w:p w:rsidR="001F197B" w:rsidRPr="00101C1F" w:rsidRDefault="001C70C9" w:rsidP="001C70C9">
            <w:pPr>
              <w:ind w:right="448"/>
              <w:jc w:val="both"/>
              <w:rPr>
                <w:lang w:val="lv-LV"/>
              </w:rPr>
            </w:pPr>
            <w:r w:rsidRPr="001C70C9">
              <w:rPr>
                <w:lang w:val="lv-LV"/>
              </w:rPr>
              <w:t>atsauksmes no Nolikuma 4.1.3. apakšpunktā minēto pakalpojumu saņēmējiem. Atsauksmēs jābūt norādei vai līgums tika izpildīts noteiktajā termiņā un kvalitatīvi;</w:t>
            </w:r>
          </w:p>
        </w:tc>
      </w:tr>
      <w:tr w:rsidR="001F197B" w:rsidRPr="0049269C" w:rsidTr="00047DDA">
        <w:tc>
          <w:tcPr>
            <w:tcW w:w="857" w:type="pct"/>
            <w:vAlign w:val="center"/>
          </w:tcPr>
          <w:p w:rsidR="001F197B" w:rsidRPr="00101C1F" w:rsidRDefault="001F197B" w:rsidP="001C70C9">
            <w:pPr>
              <w:jc w:val="both"/>
              <w:rPr>
                <w:lang w:val="lv-LV"/>
              </w:rPr>
            </w:pPr>
            <w:r w:rsidRPr="00101C1F">
              <w:rPr>
                <w:lang w:val="lv-LV"/>
              </w:rPr>
              <w:t>4.1.5.</w:t>
            </w:r>
          </w:p>
        </w:tc>
        <w:tc>
          <w:tcPr>
            <w:tcW w:w="4143" w:type="pct"/>
            <w:vAlign w:val="center"/>
          </w:tcPr>
          <w:p w:rsidR="001F197B" w:rsidRPr="00101C1F" w:rsidRDefault="001C70C9" w:rsidP="001C70C9">
            <w:pPr>
              <w:ind w:right="448"/>
              <w:jc w:val="both"/>
              <w:rPr>
                <w:lang w:val="lv-LV"/>
              </w:rPr>
            </w:pPr>
            <w:r w:rsidRPr="001C70C9">
              <w:rPr>
                <w:lang w:val="lv-LV"/>
              </w:rPr>
              <w:t>apdrošināšanas sabiedrības izsniegts apliecinājums, ka Iepirkuma līguma slēgšanas gadījumā tiks izsniegtas apdrošināšanas polises par visu celtniecības darbu un risku apdrošināšanu 100% (viens simts procenti) apmērā no pretendenta piedāvātās līgumcenas, un būvniecības profesionālās civiltiesiskās atbildības obligāto apdrošināšanu 10% (desmit procenti) apmērā no pretendenta piedāvātās līgumcenas, un tās darbosies visā objekta izbūves laikā (atbilstoši Nolikuma 3.pielikumam).</w:t>
            </w:r>
          </w:p>
        </w:tc>
      </w:tr>
      <w:tr w:rsidR="001F197B" w:rsidRPr="00101C1F" w:rsidTr="00047DDA">
        <w:tc>
          <w:tcPr>
            <w:tcW w:w="857" w:type="pct"/>
            <w:vAlign w:val="center"/>
          </w:tcPr>
          <w:p w:rsidR="001F197B" w:rsidRPr="00101C1F" w:rsidRDefault="001F197B" w:rsidP="001C70C9">
            <w:pPr>
              <w:jc w:val="both"/>
              <w:rPr>
                <w:lang w:val="lv-LV"/>
              </w:rPr>
            </w:pPr>
            <w:r w:rsidRPr="00101C1F">
              <w:rPr>
                <w:lang w:val="lv-LV"/>
              </w:rPr>
              <w:t>4.1.6.</w:t>
            </w:r>
          </w:p>
        </w:tc>
        <w:tc>
          <w:tcPr>
            <w:tcW w:w="4143" w:type="pct"/>
            <w:vAlign w:val="center"/>
          </w:tcPr>
          <w:p w:rsidR="001F197B" w:rsidRPr="00101C1F" w:rsidRDefault="001C70C9" w:rsidP="001C70C9">
            <w:pPr>
              <w:ind w:right="448"/>
              <w:jc w:val="both"/>
              <w:rPr>
                <w:lang w:val="lv-LV"/>
              </w:rPr>
            </w:pPr>
            <w:r w:rsidRPr="001C70C9">
              <w:rPr>
                <w:lang w:val="lv-LV"/>
              </w:rPr>
              <w:t>apliecinājums, kas atbilst Nolikuma 5.pielikumā norādītajam;</w:t>
            </w:r>
          </w:p>
        </w:tc>
      </w:tr>
      <w:tr w:rsidR="001F197B" w:rsidRPr="0049269C" w:rsidTr="00047DDA">
        <w:tc>
          <w:tcPr>
            <w:tcW w:w="857" w:type="pct"/>
            <w:vAlign w:val="center"/>
          </w:tcPr>
          <w:p w:rsidR="001F197B" w:rsidRPr="00101C1F" w:rsidRDefault="001F197B" w:rsidP="001C70C9">
            <w:pPr>
              <w:jc w:val="both"/>
              <w:rPr>
                <w:lang w:val="lv-LV"/>
              </w:rPr>
            </w:pPr>
            <w:r w:rsidRPr="00101C1F">
              <w:rPr>
                <w:lang w:val="lv-LV"/>
              </w:rPr>
              <w:t>4.1.7.</w:t>
            </w:r>
          </w:p>
        </w:tc>
        <w:tc>
          <w:tcPr>
            <w:tcW w:w="4143" w:type="pct"/>
            <w:vAlign w:val="center"/>
          </w:tcPr>
          <w:p w:rsidR="001F197B" w:rsidRPr="00101C1F" w:rsidRDefault="001C70C9" w:rsidP="001C70C9">
            <w:pPr>
              <w:ind w:right="448"/>
              <w:jc w:val="both"/>
              <w:rPr>
                <w:lang w:val="lv-LV"/>
              </w:rPr>
            </w:pPr>
            <w:r w:rsidRPr="001C70C9">
              <w:rPr>
                <w:lang w:val="lv-LV"/>
              </w:rPr>
              <w:t>apliecinājums, ka pretendents nodrošinās atbildīgo būvdarbu vadītāju, kuram ir būvprakses sertifikāts un darba pieredze vismaz 1 (vienu) līdzīgu pēc apjoma būvdarbu līgumu vadīšanā pēdējo 3 (trīs) gadu laikā no piedāvājuma iesniegšanas brīža;</w:t>
            </w:r>
          </w:p>
        </w:tc>
      </w:tr>
      <w:tr w:rsidR="001F197B" w:rsidRPr="0049269C" w:rsidTr="00047DDA">
        <w:tc>
          <w:tcPr>
            <w:tcW w:w="857" w:type="pct"/>
            <w:vAlign w:val="center"/>
          </w:tcPr>
          <w:p w:rsidR="001F197B" w:rsidRPr="00101C1F" w:rsidRDefault="001F197B" w:rsidP="001C70C9">
            <w:pPr>
              <w:jc w:val="both"/>
              <w:rPr>
                <w:lang w:val="lv-LV"/>
              </w:rPr>
            </w:pPr>
            <w:r w:rsidRPr="00101C1F">
              <w:rPr>
                <w:lang w:val="lv-LV"/>
              </w:rPr>
              <w:t>4.1.8.</w:t>
            </w:r>
          </w:p>
        </w:tc>
        <w:tc>
          <w:tcPr>
            <w:tcW w:w="4143" w:type="pct"/>
            <w:vAlign w:val="center"/>
          </w:tcPr>
          <w:p w:rsidR="001F197B" w:rsidRPr="00101C1F" w:rsidRDefault="001C70C9" w:rsidP="001C70C9">
            <w:pPr>
              <w:ind w:right="448"/>
              <w:jc w:val="both"/>
              <w:rPr>
                <w:lang w:val="lv-LV"/>
              </w:rPr>
            </w:pPr>
            <w:r w:rsidRPr="001C70C9">
              <w:rPr>
                <w:lang w:val="lv-LV"/>
              </w:rPr>
              <w:t xml:space="preserve">apliecinājums un dokumentālais pierādījums, ka pirms darbu uzsākšanas pretendentam būs iespēja iesniegt Pasūtītājam </w:t>
            </w:r>
            <w:proofErr w:type="spellStart"/>
            <w:r w:rsidRPr="001C70C9">
              <w:rPr>
                <w:lang w:val="lv-LV"/>
              </w:rPr>
              <w:t>būvspeciālista</w:t>
            </w:r>
            <w:proofErr w:type="spellEnd"/>
            <w:r w:rsidRPr="001C70C9">
              <w:rPr>
                <w:lang w:val="lv-LV"/>
              </w:rPr>
              <w:t xml:space="preserve"> profesionālās civiltiesiskās atbildības apdrošināšanas polisi un būvdarbu veicēja civiltiesiskās atbildības apdrošināšanas polisi atbilstoši Ministru kabineta 2014.gada 19.augusta noteikumiem Nr. 502 "Noteikumi par </w:t>
            </w:r>
            <w:proofErr w:type="spellStart"/>
            <w:r w:rsidRPr="001C70C9">
              <w:rPr>
                <w:lang w:val="lv-LV"/>
              </w:rPr>
              <w:t>būvspeciālistu</w:t>
            </w:r>
            <w:proofErr w:type="spellEnd"/>
            <w:r w:rsidRPr="001C70C9">
              <w:rPr>
                <w:lang w:val="lv-LV"/>
              </w:rPr>
              <w:t xml:space="preserve"> un būvdarbu veicēju civiltiesiskās atbildības obligāto apdrošināšanu";</w:t>
            </w:r>
          </w:p>
        </w:tc>
      </w:tr>
      <w:tr w:rsidR="001F197B" w:rsidRPr="00101C1F" w:rsidTr="00047DDA">
        <w:tc>
          <w:tcPr>
            <w:tcW w:w="857" w:type="pct"/>
            <w:vAlign w:val="center"/>
          </w:tcPr>
          <w:p w:rsidR="001F197B" w:rsidRPr="00101C1F" w:rsidRDefault="001F197B" w:rsidP="001C70C9">
            <w:pPr>
              <w:jc w:val="both"/>
              <w:rPr>
                <w:lang w:val="lv-LV"/>
              </w:rPr>
            </w:pPr>
            <w:r w:rsidRPr="00101C1F">
              <w:rPr>
                <w:lang w:val="lv-LV"/>
              </w:rPr>
              <w:t>4.1.9.</w:t>
            </w:r>
          </w:p>
        </w:tc>
        <w:tc>
          <w:tcPr>
            <w:tcW w:w="4143" w:type="pct"/>
            <w:vAlign w:val="center"/>
          </w:tcPr>
          <w:p w:rsidR="001F197B" w:rsidRPr="00101C1F" w:rsidRDefault="001C70C9" w:rsidP="001C70C9">
            <w:pPr>
              <w:ind w:right="448"/>
              <w:jc w:val="both"/>
              <w:rPr>
                <w:lang w:val="lv-LV"/>
              </w:rPr>
            </w:pPr>
            <w:r w:rsidRPr="001C70C9">
              <w:rPr>
                <w:lang w:val="lv-LV"/>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1F197B" w:rsidRPr="0049269C" w:rsidTr="00047DDA">
        <w:tc>
          <w:tcPr>
            <w:tcW w:w="857" w:type="pct"/>
            <w:vAlign w:val="center"/>
          </w:tcPr>
          <w:p w:rsidR="001F197B" w:rsidRPr="00101C1F" w:rsidRDefault="001F197B" w:rsidP="001C70C9">
            <w:pPr>
              <w:jc w:val="both"/>
              <w:rPr>
                <w:lang w:val="lv-LV"/>
              </w:rPr>
            </w:pPr>
            <w:r w:rsidRPr="00101C1F">
              <w:rPr>
                <w:lang w:val="lv-LV"/>
              </w:rPr>
              <w:t>4.1.10.</w:t>
            </w:r>
          </w:p>
        </w:tc>
        <w:tc>
          <w:tcPr>
            <w:tcW w:w="4143" w:type="pct"/>
            <w:vAlign w:val="center"/>
          </w:tcPr>
          <w:p w:rsidR="001F197B" w:rsidRPr="00101C1F" w:rsidRDefault="001C70C9" w:rsidP="001C70C9">
            <w:pPr>
              <w:ind w:right="448"/>
              <w:jc w:val="both"/>
              <w:rPr>
                <w:lang w:val="lv-LV"/>
              </w:rPr>
            </w:pPr>
            <w:r w:rsidRPr="001C70C9">
              <w:rPr>
                <w:lang w:val="lv-LV"/>
              </w:rPr>
              <w:t>saraksts ar pretendenta personālu, 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1F197B" w:rsidRPr="0049269C" w:rsidTr="00047DDA">
        <w:tc>
          <w:tcPr>
            <w:tcW w:w="857" w:type="pct"/>
            <w:vAlign w:val="center"/>
          </w:tcPr>
          <w:p w:rsidR="001F197B" w:rsidRPr="00101C1F" w:rsidRDefault="001F197B" w:rsidP="001C70C9">
            <w:pPr>
              <w:jc w:val="both"/>
              <w:rPr>
                <w:lang w:val="lv-LV"/>
              </w:rPr>
            </w:pPr>
            <w:r w:rsidRPr="00101C1F">
              <w:rPr>
                <w:lang w:val="lv-LV"/>
              </w:rPr>
              <w:t>4.1.11.</w:t>
            </w:r>
          </w:p>
        </w:tc>
        <w:tc>
          <w:tcPr>
            <w:tcW w:w="4143" w:type="pct"/>
            <w:vAlign w:val="center"/>
          </w:tcPr>
          <w:p w:rsidR="001F197B" w:rsidRPr="00101C1F" w:rsidRDefault="001F197B" w:rsidP="001C70C9">
            <w:pPr>
              <w:ind w:right="448"/>
              <w:jc w:val="both"/>
              <w:rPr>
                <w:lang w:val="lv-LV"/>
              </w:rPr>
            </w:pPr>
            <w:r w:rsidRPr="00101C1F">
              <w:rPr>
                <w:lang w:val="lv-LV"/>
              </w:rPr>
              <w:t>apliecinājums  par pretendenta vidējo gada apgrozījumu 3 (trīs) iepriekšējo finanšu gadu (2015., 2016., 2017. gadu) laikā. Pretendenta vidējam gada apgrozījumam norādītajā laikā jābūt vismaz piedāvātās kopējās līgumcenas apmērā;</w:t>
            </w:r>
          </w:p>
        </w:tc>
      </w:tr>
      <w:tr w:rsidR="001F197B" w:rsidRPr="0049269C" w:rsidTr="00047DDA">
        <w:tc>
          <w:tcPr>
            <w:tcW w:w="857" w:type="pct"/>
            <w:vAlign w:val="center"/>
          </w:tcPr>
          <w:p w:rsidR="001F197B" w:rsidRPr="00101C1F" w:rsidRDefault="001F197B" w:rsidP="001C70C9">
            <w:pPr>
              <w:jc w:val="both"/>
              <w:rPr>
                <w:lang w:val="lv-LV"/>
              </w:rPr>
            </w:pPr>
            <w:r w:rsidRPr="00101C1F">
              <w:rPr>
                <w:lang w:val="lv-LV"/>
              </w:rPr>
              <w:t>4.1.12.</w:t>
            </w:r>
          </w:p>
        </w:tc>
        <w:tc>
          <w:tcPr>
            <w:tcW w:w="4143" w:type="pct"/>
            <w:vAlign w:val="center"/>
          </w:tcPr>
          <w:p w:rsidR="001F197B" w:rsidRPr="00101C1F" w:rsidRDefault="001F197B" w:rsidP="001C70C9">
            <w:pPr>
              <w:ind w:right="448"/>
              <w:jc w:val="both"/>
              <w:rPr>
                <w:lang w:val="lv-LV"/>
              </w:rPr>
            </w:pPr>
            <w:r w:rsidRPr="00101C1F">
              <w:rPr>
                <w:lang w:val="lv-LV"/>
              </w:rPr>
              <w:t>pretendents, kas attiecīgajā tirgū darbojas mazāk nekā 2 (divus) kalendāros gadus, iesniedz Nolikuma 4.1.11. apakšpunktā minēto dokumentu tikai par periodu no darbības uzsākšanas brīža (bet vidējam gada apgrozījumam jābūt vismaz piedāvātās kopējās līgumcenas apmērā);</w:t>
            </w:r>
          </w:p>
        </w:tc>
      </w:tr>
      <w:tr w:rsidR="001F197B" w:rsidRPr="00101C1F" w:rsidTr="00047DDA">
        <w:tc>
          <w:tcPr>
            <w:tcW w:w="857" w:type="pct"/>
            <w:vAlign w:val="center"/>
          </w:tcPr>
          <w:p w:rsidR="001F197B" w:rsidRPr="00101C1F" w:rsidRDefault="001F197B" w:rsidP="001C70C9">
            <w:pPr>
              <w:jc w:val="both"/>
              <w:rPr>
                <w:lang w:val="lv-LV"/>
              </w:rPr>
            </w:pPr>
            <w:r w:rsidRPr="00101C1F">
              <w:rPr>
                <w:lang w:val="lv-LV"/>
              </w:rPr>
              <w:t>4.1.13.</w:t>
            </w:r>
          </w:p>
        </w:tc>
        <w:tc>
          <w:tcPr>
            <w:tcW w:w="4143" w:type="pct"/>
            <w:vAlign w:val="center"/>
          </w:tcPr>
          <w:p w:rsidR="001F197B" w:rsidRPr="00101C1F" w:rsidRDefault="001F197B" w:rsidP="001C70C9">
            <w:pPr>
              <w:ind w:right="448"/>
              <w:jc w:val="both"/>
              <w:rPr>
                <w:lang w:val="lv-LV"/>
              </w:rPr>
            </w:pPr>
            <w:r w:rsidRPr="00101C1F">
              <w:rPr>
                <w:lang w:val="lv-LV"/>
              </w:rPr>
              <w:t>apliecinājums, kas atbilst Nolikuma 4. pielikumā norādītajam;</w:t>
            </w:r>
          </w:p>
        </w:tc>
      </w:tr>
      <w:tr w:rsidR="001F197B" w:rsidRPr="00101C1F" w:rsidTr="00047DDA">
        <w:tc>
          <w:tcPr>
            <w:tcW w:w="857" w:type="pct"/>
            <w:vAlign w:val="center"/>
          </w:tcPr>
          <w:p w:rsidR="001F197B" w:rsidRPr="00101C1F" w:rsidRDefault="001F197B" w:rsidP="001C70C9">
            <w:pPr>
              <w:jc w:val="both"/>
              <w:rPr>
                <w:lang w:val="lv-LV"/>
              </w:rPr>
            </w:pPr>
            <w:r w:rsidRPr="00101C1F">
              <w:rPr>
                <w:lang w:val="lv-LV"/>
              </w:rPr>
              <w:t>4.1.14.</w:t>
            </w:r>
          </w:p>
        </w:tc>
        <w:tc>
          <w:tcPr>
            <w:tcW w:w="4143" w:type="pct"/>
            <w:vAlign w:val="center"/>
          </w:tcPr>
          <w:p w:rsidR="001F197B" w:rsidRPr="00101C1F" w:rsidRDefault="001F197B" w:rsidP="001C70C9">
            <w:pPr>
              <w:ind w:right="448"/>
              <w:jc w:val="both"/>
              <w:rPr>
                <w:lang w:val="lv-LV"/>
              </w:rPr>
            </w:pPr>
            <w:r w:rsidRPr="00101C1F">
              <w:rPr>
                <w:lang w:val="lv-LV"/>
              </w:rPr>
              <w:t>apliecinājums par darbu izpildes termiņu, kas atbilst pretendenta iesniegtajam darbu izpildes kalendārais grafikam. Pretendents darbu izpildes termiņu norāda kalendāra nedēļās.</w:t>
            </w:r>
          </w:p>
        </w:tc>
      </w:tr>
    </w:tbl>
    <w:p w:rsidR="001C70C9" w:rsidRDefault="001C70C9" w:rsidP="001C70C9">
      <w:pPr>
        <w:ind w:right="-1"/>
        <w:jc w:val="both"/>
        <w:rPr>
          <w:b/>
          <w:highlight w:val="yellow"/>
          <w:lang w:val="lv-LV"/>
        </w:rPr>
      </w:pPr>
    </w:p>
    <w:p w:rsidR="00CF0C2E" w:rsidRDefault="00CF0C2E" w:rsidP="001C70C9">
      <w:pPr>
        <w:jc w:val="both"/>
        <w:rPr>
          <w:rFonts w:eastAsiaTheme="minorHAnsi"/>
          <w:noProof/>
          <w:lang w:val="lv-LV"/>
        </w:rPr>
      </w:pPr>
    </w:p>
    <w:p w:rsidR="00096F94" w:rsidRPr="00CF0C2E" w:rsidRDefault="00E82E97" w:rsidP="001C70C9">
      <w:pPr>
        <w:jc w:val="both"/>
        <w:rPr>
          <w:b/>
          <w:lang w:val="lv-LV"/>
        </w:rPr>
      </w:pPr>
      <w:r w:rsidRPr="00CF0C2E">
        <w:rPr>
          <w:b/>
          <w:lang w:val="lv-LV"/>
        </w:rPr>
        <w:t>8</w:t>
      </w:r>
      <w:r w:rsidR="00B67C54" w:rsidRPr="00CF0C2E">
        <w:rPr>
          <w:b/>
          <w:lang w:val="lv-LV"/>
        </w:rPr>
        <w:t xml:space="preserve">. </w:t>
      </w:r>
      <w:r w:rsidR="00F45B7B" w:rsidRPr="00CF0C2E">
        <w:rPr>
          <w:b/>
          <w:lang w:val="lv-LV"/>
        </w:rPr>
        <w:t xml:space="preserve">Pretendenta piedāvājuma izvēles </w:t>
      </w:r>
      <w:r w:rsidR="00047DDA" w:rsidRPr="00CF0C2E">
        <w:rPr>
          <w:b/>
          <w:lang w:val="lv-LV"/>
        </w:rPr>
        <w:t>kritērijs:</w:t>
      </w:r>
    </w:p>
    <w:p w:rsidR="004379FB" w:rsidRPr="004379FB" w:rsidRDefault="00047DDA" w:rsidP="004379FB">
      <w:pPr>
        <w:spacing w:before="60" w:after="60"/>
        <w:ind w:left="-567" w:firstLine="567"/>
        <w:jc w:val="both"/>
        <w:rPr>
          <w:b/>
          <w:lang w:val="lv-LV" w:eastAsia="lv-LV"/>
        </w:rPr>
      </w:pPr>
      <w:r w:rsidRPr="00CF0C2E">
        <w:rPr>
          <w:b/>
          <w:color w:val="000000"/>
          <w:lang w:val="lv-LV" w:eastAsia="lv-LV"/>
        </w:rPr>
        <w:t>"</w:t>
      </w:r>
      <w:r w:rsidR="004379FB" w:rsidRPr="004379FB">
        <w:rPr>
          <w:b/>
          <w:color w:val="000000"/>
          <w:lang w:val="lv-LV" w:eastAsia="lv-LV"/>
        </w:rPr>
        <w:t>8.1.</w:t>
      </w:r>
      <w:r w:rsidR="004379FB" w:rsidRPr="004379FB">
        <w:rPr>
          <w:color w:val="000000"/>
          <w:lang w:val="lv-LV" w:eastAsia="lv-LV"/>
        </w:rPr>
        <w:t xml:space="preserve"> Vērtēšanas kritērijs – </w:t>
      </w:r>
      <w:r w:rsidR="004379FB" w:rsidRPr="004379FB">
        <w:rPr>
          <w:b/>
          <w:color w:val="000000"/>
          <w:lang w:val="lv-LV" w:eastAsia="lv-LV"/>
        </w:rPr>
        <w:t>D</w:t>
      </w:r>
      <w:r w:rsidR="004379FB" w:rsidRPr="004379FB">
        <w:rPr>
          <w:color w:val="000000"/>
          <w:lang w:val="lv-LV" w:eastAsia="lv-LV"/>
        </w:rPr>
        <w:t xml:space="preserve"> – </w:t>
      </w:r>
      <w:r w:rsidR="004379FB" w:rsidRPr="004379FB">
        <w:rPr>
          <w:b/>
          <w:color w:val="000000"/>
          <w:lang w:val="lv-LV" w:eastAsia="lv-LV"/>
        </w:rPr>
        <w:t>saimnieciski visizdevīgākais piedāvājums.</w:t>
      </w:r>
      <w:r w:rsidR="004379FB" w:rsidRPr="004379FB">
        <w:rPr>
          <w:color w:val="000000"/>
          <w:lang w:val="lv-LV" w:eastAsia="lv-LV"/>
        </w:rPr>
        <w:t xml:space="preserve"> </w:t>
      </w:r>
    </w:p>
    <w:p w:rsidR="004379FB" w:rsidRPr="004379FB" w:rsidRDefault="004379FB" w:rsidP="00DC6287">
      <w:pPr>
        <w:spacing w:before="60" w:after="60"/>
        <w:ind w:firstLine="142"/>
        <w:jc w:val="both"/>
        <w:rPr>
          <w:b/>
          <w:lang w:val="lv-LV" w:eastAsia="lv-LV"/>
        </w:rPr>
      </w:pPr>
      <w:r w:rsidRPr="004379FB">
        <w:rPr>
          <w:b/>
          <w:color w:val="000000"/>
          <w:lang w:val="lv-LV" w:eastAsia="lv-LV"/>
        </w:rPr>
        <w:t>8.2.</w:t>
      </w:r>
      <w:r w:rsidRPr="004379FB">
        <w:rPr>
          <w:color w:val="000000"/>
          <w:lang w:val="lv-LV" w:eastAsia="lv-LV"/>
        </w:rPr>
        <w:t> Iepirkumu komisija, salīdzinot piedāvājumus savā starpā, izvēlas saimnieciski visizdevīgāko piedāvājumu.</w:t>
      </w:r>
    </w:p>
    <w:p w:rsidR="004379FB" w:rsidRPr="004379FB" w:rsidRDefault="004379FB" w:rsidP="00DC6287">
      <w:pPr>
        <w:spacing w:before="60" w:after="60"/>
        <w:jc w:val="both"/>
        <w:rPr>
          <w:b/>
          <w:lang w:val="lv-LV" w:eastAsia="lv-LV"/>
        </w:rPr>
      </w:pPr>
      <w:r w:rsidRPr="004379FB">
        <w:rPr>
          <w:b/>
          <w:color w:val="000000"/>
          <w:lang w:val="lv-LV" w:eastAsia="lv-LV"/>
        </w:rPr>
        <w:t>8.3.</w:t>
      </w:r>
      <w:r w:rsidRPr="004379FB">
        <w:rPr>
          <w:color w:val="000000"/>
          <w:lang w:val="lv-LV" w:eastAsia="lv-LV"/>
        </w:rPr>
        <w:t> Iepirkumu komisija, nosakot saimnieciski visizdevīgāko piedāvājumu, izmanto šādu vērtēšanas kritēriju ar attiecīgu maksimālo piešķiramo punktu skaitu:</w:t>
      </w:r>
    </w:p>
    <w:p w:rsidR="004379FB" w:rsidRPr="004379FB" w:rsidRDefault="004379FB" w:rsidP="004379FB">
      <w:pPr>
        <w:tabs>
          <w:tab w:val="left" w:pos="180"/>
          <w:tab w:val="left" w:pos="540"/>
        </w:tabs>
        <w:suppressAutoHyphens/>
        <w:ind w:left="540"/>
        <w:jc w:val="both"/>
        <w:rPr>
          <w:color w:val="000000"/>
          <w:lang w:val="lv-LV" w:eastAsia="lv-LV"/>
        </w:rPr>
      </w:pPr>
    </w:p>
    <w:tbl>
      <w:tblPr>
        <w:tblW w:w="525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3014"/>
        <w:gridCol w:w="4849"/>
      </w:tblGrid>
      <w:tr w:rsidR="004379FB" w:rsidRPr="004379FB" w:rsidTr="004379FB">
        <w:tc>
          <w:tcPr>
            <w:tcW w:w="873" w:type="pct"/>
            <w:shd w:val="clear" w:color="auto" w:fill="auto"/>
          </w:tcPr>
          <w:p w:rsidR="004379FB" w:rsidRPr="004379FB" w:rsidRDefault="004379FB" w:rsidP="004379FB">
            <w:pPr>
              <w:tabs>
                <w:tab w:val="left" w:pos="180"/>
                <w:tab w:val="left" w:pos="540"/>
              </w:tabs>
              <w:suppressAutoHyphens/>
              <w:jc w:val="both"/>
              <w:rPr>
                <w:b/>
                <w:color w:val="000000"/>
                <w:lang w:val="lv-LV" w:eastAsia="lv-LV"/>
              </w:rPr>
            </w:pPr>
            <w:proofErr w:type="spellStart"/>
            <w:r w:rsidRPr="004379FB">
              <w:rPr>
                <w:b/>
                <w:color w:val="000000"/>
                <w:lang w:val="lv-LV" w:eastAsia="lv-LV"/>
              </w:rPr>
              <w:t>Nr.p.k</w:t>
            </w:r>
            <w:proofErr w:type="spellEnd"/>
            <w:r w:rsidRPr="004379FB">
              <w:rPr>
                <w:b/>
                <w:color w:val="000000"/>
                <w:lang w:val="lv-LV" w:eastAsia="lv-LV"/>
              </w:rPr>
              <w:t>.</w:t>
            </w:r>
          </w:p>
        </w:tc>
        <w:tc>
          <w:tcPr>
            <w:tcW w:w="1582" w:type="pct"/>
            <w:shd w:val="clear" w:color="auto" w:fill="auto"/>
          </w:tcPr>
          <w:p w:rsidR="004379FB" w:rsidRPr="004379FB" w:rsidRDefault="004379FB" w:rsidP="004379FB">
            <w:pPr>
              <w:tabs>
                <w:tab w:val="left" w:pos="180"/>
                <w:tab w:val="left" w:pos="540"/>
              </w:tabs>
              <w:suppressAutoHyphens/>
              <w:jc w:val="both"/>
              <w:rPr>
                <w:b/>
                <w:color w:val="000000"/>
                <w:lang w:val="lv-LV" w:eastAsia="lv-LV"/>
              </w:rPr>
            </w:pPr>
            <w:r w:rsidRPr="004379FB">
              <w:rPr>
                <w:b/>
                <w:color w:val="000000"/>
                <w:lang w:val="lv-LV" w:eastAsia="lv-LV"/>
              </w:rPr>
              <w:t>Kritēriji</w:t>
            </w:r>
          </w:p>
        </w:tc>
        <w:tc>
          <w:tcPr>
            <w:tcW w:w="2545" w:type="pct"/>
            <w:shd w:val="clear" w:color="auto" w:fill="auto"/>
          </w:tcPr>
          <w:p w:rsidR="004379FB" w:rsidRPr="004379FB" w:rsidRDefault="004379FB" w:rsidP="004379FB">
            <w:pPr>
              <w:tabs>
                <w:tab w:val="left" w:pos="180"/>
                <w:tab w:val="left" w:pos="540"/>
              </w:tabs>
              <w:suppressAutoHyphens/>
              <w:jc w:val="center"/>
              <w:rPr>
                <w:color w:val="000000"/>
                <w:lang w:val="lv-LV" w:eastAsia="lv-LV"/>
              </w:rPr>
            </w:pPr>
            <w:r w:rsidRPr="004379FB">
              <w:rPr>
                <w:b/>
                <w:color w:val="000000"/>
                <w:lang w:val="lv-LV" w:eastAsia="lv-LV"/>
              </w:rPr>
              <w:t xml:space="preserve">Kritēriju skaitliskais vērtējums </w:t>
            </w:r>
            <w:r w:rsidRPr="004379FB">
              <w:rPr>
                <w:color w:val="000000"/>
                <w:lang w:val="lv-LV" w:eastAsia="lv-LV"/>
              </w:rPr>
              <w:t>(punktos)</w:t>
            </w:r>
          </w:p>
        </w:tc>
      </w:tr>
      <w:tr w:rsidR="004379FB" w:rsidRPr="004379FB" w:rsidTr="004379FB">
        <w:tc>
          <w:tcPr>
            <w:tcW w:w="873" w:type="pct"/>
            <w:shd w:val="clear" w:color="auto" w:fill="auto"/>
            <w:vAlign w:val="center"/>
          </w:tcPr>
          <w:p w:rsidR="004379FB" w:rsidRPr="004379FB" w:rsidRDefault="004379FB" w:rsidP="004379FB">
            <w:pPr>
              <w:tabs>
                <w:tab w:val="left" w:pos="180"/>
                <w:tab w:val="left" w:pos="540"/>
              </w:tabs>
              <w:suppressAutoHyphens/>
              <w:jc w:val="center"/>
              <w:rPr>
                <w:color w:val="000000"/>
                <w:lang w:val="lv-LV" w:eastAsia="lv-LV"/>
              </w:rPr>
            </w:pPr>
            <w:r w:rsidRPr="004379FB">
              <w:rPr>
                <w:color w:val="000000"/>
                <w:lang w:val="lv-LV" w:eastAsia="lv-LV"/>
              </w:rPr>
              <w:t>A</w:t>
            </w:r>
          </w:p>
        </w:tc>
        <w:tc>
          <w:tcPr>
            <w:tcW w:w="1582" w:type="pct"/>
            <w:shd w:val="clear" w:color="auto" w:fill="auto"/>
            <w:vAlign w:val="center"/>
          </w:tcPr>
          <w:p w:rsidR="004379FB" w:rsidRPr="004379FB" w:rsidRDefault="004379FB" w:rsidP="004379FB">
            <w:pPr>
              <w:tabs>
                <w:tab w:val="left" w:pos="180"/>
                <w:tab w:val="left" w:pos="540"/>
              </w:tabs>
              <w:suppressAutoHyphens/>
              <w:jc w:val="center"/>
              <w:rPr>
                <w:color w:val="000000"/>
                <w:lang w:val="lv-LV" w:eastAsia="lv-LV"/>
              </w:rPr>
            </w:pPr>
            <w:r w:rsidRPr="004379FB">
              <w:rPr>
                <w:color w:val="000000"/>
                <w:lang w:val="lv-LV" w:eastAsia="lv-LV"/>
              </w:rPr>
              <w:t>Piedāvātā līgumcena</w:t>
            </w:r>
          </w:p>
        </w:tc>
        <w:tc>
          <w:tcPr>
            <w:tcW w:w="2545" w:type="pct"/>
            <w:shd w:val="clear" w:color="auto" w:fill="auto"/>
            <w:vAlign w:val="center"/>
          </w:tcPr>
          <w:p w:rsidR="004379FB" w:rsidRPr="004379FB" w:rsidRDefault="004379FB" w:rsidP="004379FB">
            <w:pPr>
              <w:tabs>
                <w:tab w:val="left" w:pos="180"/>
                <w:tab w:val="left" w:pos="540"/>
              </w:tabs>
              <w:suppressAutoHyphens/>
              <w:jc w:val="center"/>
              <w:rPr>
                <w:color w:val="000000"/>
                <w:lang w:val="lv-LV" w:eastAsia="lv-LV"/>
              </w:rPr>
            </w:pPr>
            <w:r w:rsidRPr="004379FB">
              <w:rPr>
                <w:color w:val="000000"/>
                <w:lang w:val="lv-LV" w:eastAsia="lv-LV"/>
              </w:rPr>
              <w:t>70</w:t>
            </w:r>
          </w:p>
        </w:tc>
      </w:tr>
      <w:tr w:rsidR="004379FB" w:rsidRPr="004379FB" w:rsidTr="004379FB">
        <w:tc>
          <w:tcPr>
            <w:tcW w:w="873" w:type="pct"/>
            <w:shd w:val="clear" w:color="auto" w:fill="auto"/>
            <w:vAlign w:val="center"/>
          </w:tcPr>
          <w:p w:rsidR="004379FB" w:rsidRPr="004379FB" w:rsidRDefault="004379FB" w:rsidP="004379FB">
            <w:pPr>
              <w:tabs>
                <w:tab w:val="left" w:pos="180"/>
                <w:tab w:val="left" w:pos="540"/>
              </w:tabs>
              <w:suppressAutoHyphens/>
              <w:jc w:val="center"/>
              <w:rPr>
                <w:color w:val="000000"/>
                <w:lang w:val="lv-LV" w:eastAsia="lv-LV"/>
              </w:rPr>
            </w:pPr>
            <w:r w:rsidRPr="004379FB">
              <w:rPr>
                <w:color w:val="000000"/>
                <w:lang w:val="lv-LV" w:eastAsia="lv-LV"/>
              </w:rPr>
              <w:t>B</w:t>
            </w:r>
          </w:p>
        </w:tc>
        <w:tc>
          <w:tcPr>
            <w:tcW w:w="1582" w:type="pct"/>
            <w:shd w:val="clear" w:color="auto" w:fill="auto"/>
            <w:vAlign w:val="center"/>
          </w:tcPr>
          <w:p w:rsidR="004379FB" w:rsidRPr="004379FB" w:rsidRDefault="004379FB" w:rsidP="004379FB">
            <w:pPr>
              <w:tabs>
                <w:tab w:val="left" w:pos="180"/>
                <w:tab w:val="left" w:pos="540"/>
              </w:tabs>
              <w:suppressAutoHyphens/>
              <w:jc w:val="center"/>
              <w:rPr>
                <w:color w:val="000000"/>
                <w:lang w:val="lv-LV" w:eastAsia="lv-LV"/>
              </w:rPr>
            </w:pPr>
            <w:r w:rsidRPr="004379FB">
              <w:rPr>
                <w:color w:val="000000"/>
                <w:lang w:val="lv-LV" w:eastAsia="lv-LV"/>
              </w:rPr>
              <w:t>Darbu izpildes ilgums</w:t>
            </w:r>
            <w:r w:rsidRPr="004379FB">
              <w:rPr>
                <w:color w:val="000000"/>
                <w:lang w:val="lv-LV" w:eastAsia="lv-LV"/>
              </w:rPr>
              <w:br/>
              <w:t>(norāda kalendāra nedēļās)</w:t>
            </w:r>
          </w:p>
        </w:tc>
        <w:tc>
          <w:tcPr>
            <w:tcW w:w="2545" w:type="pct"/>
            <w:shd w:val="clear" w:color="auto" w:fill="auto"/>
            <w:vAlign w:val="center"/>
          </w:tcPr>
          <w:p w:rsidR="004379FB" w:rsidRPr="004379FB" w:rsidRDefault="004379FB" w:rsidP="004379FB">
            <w:pPr>
              <w:tabs>
                <w:tab w:val="left" w:pos="180"/>
                <w:tab w:val="left" w:pos="540"/>
              </w:tabs>
              <w:suppressAutoHyphens/>
              <w:jc w:val="center"/>
              <w:rPr>
                <w:color w:val="000000"/>
                <w:lang w:val="lv-LV" w:eastAsia="lv-LV"/>
              </w:rPr>
            </w:pPr>
            <w:r w:rsidRPr="004379FB">
              <w:rPr>
                <w:color w:val="000000"/>
                <w:lang w:val="lv-LV" w:eastAsia="lv-LV"/>
              </w:rPr>
              <w:t>30</w:t>
            </w:r>
          </w:p>
        </w:tc>
      </w:tr>
      <w:tr w:rsidR="004379FB" w:rsidRPr="004379FB" w:rsidTr="004379FB">
        <w:tc>
          <w:tcPr>
            <w:tcW w:w="2455" w:type="pct"/>
            <w:gridSpan w:val="2"/>
            <w:shd w:val="clear" w:color="auto" w:fill="auto"/>
            <w:vAlign w:val="center"/>
          </w:tcPr>
          <w:p w:rsidR="004379FB" w:rsidRPr="004379FB" w:rsidRDefault="004379FB" w:rsidP="004379FB">
            <w:pPr>
              <w:tabs>
                <w:tab w:val="left" w:pos="180"/>
                <w:tab w:val="left" w:pos="540"/>
              </w:tabs>
              <w:suppressAutoHyphens/>
              <w:jc w:val="center"/>
              <w:rPr>
                <w:color w:val="000000"/>
                <w:lang w:val="lv-LV" w:eastAsia="lv-LV"/>
              </w:rPr>
            </w:pPr>
            <w:r w:rsidRPr="004379FB">
              <w:rPr>
                <w:color w:val="000000"/>
                <w:lang w:val="lv-LV" w:eastAsia="lv-LV"/>
              </w:rPr>
              <w:t>Maksimālais iespējamais kopējais skaits</w:t>
            </w:r>
          </w:p>
        </w:tc>
        <w:tc>
          <w:tcPr>
            <w:tcW w:w="2545" w:type="pct"/>
            <w:shd w:val="clear" w:color="auto" w:fill="auto"/>
            <w:vAlign w:val="center"/>
          </w:tcPr>
          <w:p w:rsidR="004379FB" w:rsidRPr="004379FB" w:rsidRDefault="004379FB" w:rsidP="004379FB">
            <w:pPr>
              <w:tabs>
                <w:tab w:val="left" w:pos="180"/>
                <w:tab w:val="left" w:pos="540"/>
              </w:tabs>
              <w:suppressAutoHyphens/>
              <w:jc w:val="center"/>
              <w:rPr>
                <w:color w:val="000000"/>
                <w:lang w:val="lv-LV" w:eastAsia="lv-LV"/>
              </w:rPr>
            </w:pPr>
            <w:r w:rsidRPr="004379FB">
              <w:rPr>
                <w:color w:val="000000"/>
                <w:lang w:val="lv-LV" w:eastAsia="lv-LV"/>
              </w:rPr>
              <w:t>100</w:t>
            </w:r>
          </w:p>
        </w:tc>
      </w:tr>
    </w:tbl>
    <w:p w:rsidR="004379FB" w:rsidRPr="004379FB" w:rsidRDefault="004379FB" w:rsidP="004379FB">
      <w:pPr>
        <w:tabs>
          <w:tab w:val="left" w:pos="180"/>
          <w:tab w:val="left" w:pos="540"/>
        </w:tabs>
        <w:suppressAutoHyphens/>
        <w:ind w:left="540"/>
        <w:jc w:val="both"/>
        <w:rPr>
          <w:color w:val="000000"/>
          <w:lang w:val="lv-LV" w:eastAsia="lv-LV"/>
        </w:rPr>
      </w:pPr>
    </w:p>
    <w:p w:rsidR="004379FB" w:rsidRPr="004379FB" w:rsidRDefault="004379FB" w:rsidP="00DC6287">
      <w:pPr>
        <w:suppressAutoHyphens/>
        <w:ind w:firstLine="720"/>
        <w:jc w:val="both"/>
        <w:rPr>
          <w:color w:val="000000"/>
          <w:lang w:val="lv-LV" w:eastAsia="lv-LV"/>
        </w:rPr>
      </w:pPr>
      <w:r w:rsidRPr="004379FB">
        <w:rPr>
          <w:color w:val="000000"/>
          <w:lang w:val="lv-LV" w:eastAsia="lv-LV"/>
        </w:rPr>
        <w:t>Vērtēšanas kritēriji tiek sadalīti to nozīmīguma secībā ar noteiktu punktu skaitu, pieņemot kopējo maksimālo vērtēšanas kritēriju līmeni par 100 (simts) punktiem. Iepirkumu komisija katram piedāvājumam atsevišķi aprēķina vērtēšanas kritēriju punktus.</w:t>
      </w:r>
    </w:p>
    <w:p w:rsidR="004379FB" w:rsidRPr="004379FB" w:rsidRDefault="004379FB" w:rsidP="00DC6287">
      <w:pPr>
        <w:suppressAutoHyphens/>
        <w:ind w:firstLine="1"/>
        <w:jc w:val="both"/>
        <w:rPr>
          <w:color w:val="000000"/>
          <w:lang w:val="lv-LV" w:eastAsia="lv-LV"/>
        </w:rPr>
      </w:pPr>
      <w:r w:rsidRPr="004379FB">
        <w:rPr>
          <w:color w:val="000000"/>
          <w:lang w:val="lv-LV" w:eastAsia="lv-LV"/>
        </w:rPr>
        <w:t>Katrs Iepirkumu komisijas loceklis piedāvājumu vērtē individuāli pēc visiem Nolikuma 8.3. apakšpunktā norādītajiem vērtēšanas kritērijiem.</w:t>
      </w:r>
    </w:p>
    <w:p w:rsidR="004379FB" w:rsidRPr="004379FB" w:rsidRDefault="004379FB" w:rsidP="00DC6287">
      <w:pPr>
        <w:tabs>
          <w:tab w:val="left" w:pos="180"/>
          <w:tab w:val="left" w:pos="540"/>
        </w:tabs>
        <w:suppressAutoHyphens/>
        <w:ind w:firstLine="1"/>
        <w:jc w:val="both"/>
        <w:rPr>
          <w:color w:val="000000"/>
          <w:lang w:val="lv-LV" w:eastAsia="lv-LV"/>
        </w:rPr>
      </w:pPr>
    </w:p>
    <w:p w:rsidR="004379FB" w:rsidRPr="004379FB" w:rsidRDefault="004379FB" w:rsidP="00DC6287">
      <w:pPr>
        <w:tabs>
          <w:tab w:val="left" w:pos="180"/>
          <w:tab w:val="left" w:pos="540"/>
        </w:tabs>
        <w:suppressAutoHyphens/>
        <w:ind w:firstLine="1"/>
        <w:jc w:val="both"/>
        <w:rPr>
          <w:b/>
          <w:color w:val="000000"/>
          <w:lang w:val="lv-LV" w:eastAsia="lv-LV"/>
        </w:rPr>
      </w:pPr>
      <w:r w:rsidRPr="004379FB">
        <w:rPr>
          <w:b/>
          <w:color w:val="000000"/>
          <w:lang w:val="lv-LV" w:eastAsia="lv-LV"/>
        </w:rPr>
        <w:t>A – Piedāvātā līgumcena</w:t>
      </w:r>
    </w:p>
    <w:p w:rsidR="004379FB" w:rsidRPr="004379FB" w:rsidRDefault="004379FB" w:rsidP="00DC6287">
      <w:pPr>
        <w:tabs>
          <w:tab w:val="left" w:pos="180"/>
          <w:tab w:val="left" w:pos="540"/>
        </w:tabs>
        <w:suppressAutoHyphens/>
        <w:ind w:firstLine="1"/>
        <w:jc w:val="both"/>
        <w:rPr>
          <w:color w:val="000000"/>
          <w:lang w:val="lv-LV" w:eastAsia="lv-LV"/>
        </w:rPr>
      </w:pPr>
      <w:r w:rsidRPr="004379FB">
        <w:rPr>
          <w:color w:val="000000"/>
          <w:lang w:val="lv-LV" w:eastAsia="lv-LV"/>
        </w:rPr>
        <w:t xml:space="preserve">A = </w:t>
      </w:r>
      <w:proofErr w:type="spellStart"/>
      <w:r w:rsidRPr="004379FB">
        <w:rPr>
          <w:color w:val="000000"/>
          <w:lang w:val="lv-LV" w:eastAsia="lv-LV"/>
        </w:rPr>
        <w:t>A</w:t>
      </w:r>
      <w:r w:rsidRPr="004379FB">
        <w:rPr>
          <w:color w:val="000000"/>
          <w:vertAlign w:val="subscript"/>
          <w:lang w:val="lv-LV" w:eastAsia="lv-LV"/>
        </w:rPr>
        <w:t>zem</w:t>
      </w:r>
      <w:proofErr w:type="spellEnd"/>
      <w:r w:rsidRPr="004379FB">
        <w:rPr>
          <w:color w:val="000000"/>
          <w:vertAlign w:val="subscript"/>
          <w:lang w:val="lv-LV" w:eastAsia="lv-LV"/>
        </w:rPr>
        <w:t xml:space="preserve">/ </w:t>
      </w:r>
      <w:proofErr w:type="spellStart"/>
      <w:r w:rsidRPr="004379FB">
        <w:rPr>
          <w:color w:val="000000"/>
          <w:lang w:val="lv-LV" w:eastAsia="lv-LV"/>
        </w:rPr>
        <w:t>A</w:t>
      </w:r>
      <w:r w:rsidRPr="004379FB">
        <w:rPr>
          <w:color w:val="000000"/>
          <w:vertAlign w:val="subscript"/>
          <w:lang w:val="lv-LV" w:eastAsia="lv-LV"/>
        </w:rPr>
        <w:t>pied</w:t>
      </w:r>
      <w:proofErr w:type="spellEnd"/>
      <w:r w:rsidRPr="004379FB">
        <w:rPr>
          <w:color w:val="000000"/>
          <w:vertAlign w:val="subscript"/>
          <w:lang w:val="lv-LV" w:eastAsia="lv-LV"/>
        </w:rPr>
        <w:t xml:space="preserve"> </w:t>
      </w:r>
      <w:r w:rsidRPr="004379FB">
        <w:rPr>
          <w:color w:val="000000"/>
          <w:lang w:val="lv-LV" w:eastAsia="lv-LV"/>
        </w:rPr>
        <w:t>x N</w:t>
      </w:r>
    </w:p>
    <w:p w:rsidR="004379FB" w:rsidRPr="004379FB" w:rsidRDefault="004379FB" w:rsidP="00DC6287">
      <w:pPr>
        <w:tabs>
          <w:tab w:val="left" w:pos="180"/>
          <w:tab w:val="left" w:pos="540"/>
        </w:tabs>
        <w:suppressAutoHyphens/>
        <w:ind w:firstLine="1"/>
        <w:jc w:val="both"/>
        <w:rPr>
          <w:color w:val="000000"/>
          <w:lang w:val="lv-LV" w:eastAsia="lv-LV"/>
        </w:rPr>
      </w:pPr>
      <w:r w:rsidRPr="004379FB">
        <w:rPr>
          <w:color w:val="000000"/>
          <w:lang w:val="lv-LV" w:eastAsia="lv-LV"/>
        </w:rPr>
        <w:t>(</w:t>
      </w:r>
      <w:proofErr w:type="spellStart"/>
      <w:r w:rsidRPr="004379FB">
        <w:rPr>
          <w:color w:val="000000"/>
          <w:lang w:val="lv-LV" w:eastAsia="lv-LV"/>
        </w:rPr>
        <w:t>A</w:t>
      </w:r>
      <w:r w:rsidRPr="004379FB">
        <w:rPr>
          <w:color w:val="000000"/>
          <w:vertAlign w:val="subscript"/>
          <w:lang w:val="lv-LV" w:eastAsia="lv-LV"/>
        </w:rPr>
        <w:t>zem</w:t>
      </w:r>
      <w:proofErr w:type="spellEnd"/>
      <w:r w:rsidRPr="004379FB">
        <w:rPr>
          <w:color w:val="000000"/>
          <w:vertAlign w:val="subscript"/>
          <w:lang w:val="lv-LV" w:eastAsia="lv-LV"/>
        </w:rPr>
        <w:t xml:space="preserve"> </w:t>
      </w:r>
      <w:r w:rsidRPr="004379FB">
        <w:rPr>
          <w:color w:val="000000"/>
          <w:lang w:val="lv-LV" w:eastAsia="lv-LV"/>
        </w:rPr>
        <w:t xml:space="preserve">– viszemākā piedāvātā cena; </w:t>
      </w:r>
      <w:proofErr w:type="spellStart"/>
      <w:r w:rsidRPr="004379FB">
        <w:rPr>
          <w:color w:val="000000"/>
          <w:lang w:val="lv-LV" w:eastAsia="lv-LV"/>
        </w:rPr>
        <w:t>A</w:t>
      </w:r>
      <w:r w:rsidRPr="004379FB">
        <w:rPr>
          <w:color w:val="000000"/>
          <w:vertAlign w:val="subscript"/>
          <w:lang w:val="lv-LV" w:eastAsia="lv-LV"/>
        </w:rPr>
        <w:t>pied</w:t>
      </w:r>
      <w:proofErr w:type="spellEnd"/>
      <w:r w:rsidRPr="004379FB">
        <w:rPr>
          <w:color w:val="000000"/>
          <w:vertAlign w:val="subscript"/>
          <w:lang w:val="lv-LV" w:eastAsia="lv-LV"/>
        </w:rPr>
        <w:t xml:space="preserve"> – </w:t>
      </w:r>
      <w:r w:rsidRPr="004379FB">
        <w:rPr>
          <w:color w:val="000000"/>
          <w:lang w:val="lv-LV" w:eastAsia="lv-LV"/>
        </w:rPr>
        <w:t>vērtējamā cena; N – kritērija maksimālā skaitliskā vērtība).</w:t>
      </w:r>
    </w:p>
    <w:p w:rsidR="004379FB" w:rsidRPr="004379FB" w:rsidRDefault="004379FB" w:rsidP="00DC6287">
      <w:pPr>
        <w:tabs>
          <w:tab w:val="left" w:pos="180"/>
          <w:tab w:val="left" w:pos="540"/>
        </w:tabs>
        <w:suppressAutoHyphens/>
        <w:ind w:firstLine="1"/>
        <w:jc w:val="both"/>
        <w:rPr>
          <w:color w:val="000000"/>
          <w:lang w:val="lv-LV" w:eastAsia="lv-LV"/>
        </w:rPr>
      </w:pPr>
    </w:p>
    <w:p w:rsidR="004379FB" w:rsidRPr="004379FB" w:rsidRDefault="004379FB" w:rsidP="00DC6287">
      <w:pPr>
        <w:tabs>
          <w:tab w:val="left" w:pos="180"/>
          <w:tab w:val="left" w:pos="540"/>
        </w:tabs>
        <w:suppressAutoHyphens/>
        <w:ind w:firstLine="1"/>
        <w:jc w:val="both"/>
        <w:rPr>
          <w:b/>
          <w:color w:val="000000"/>
          <w:lang w:val="lv-LV" w:eastAsia="lv-LV"/>
        </w:rPr>
      </w:pPr>
      <w:r w:rsidRPr="004379FB">
        <w:rPr>
          <w:b/>
          <w:color w:val="000000"/>
          <w:lang w:val="lv-LV" w:eastAsia="lv-LV"/>
        </w:rPr>
        <w:t>B – Darbu izpildes ilgums (kalendārajās nedēļās)</w:t>
      </w:r>
    </w:p>
    <w:p w:rsidR="004379FB" w:rsidRPr="004379FB" w:rsidRDefault="004379FB" w:rsidP="00DC6287">
      <w:pPr>
        <w:tabs>
          <w:tab w:val="left" w:pos="180"/>
          <w:tab w:val="left" w:pos="540"/>
        </w:tabs>
        <w:suppressAutoHyphens/>
        <w:ind w:firstLine="1"/>
        <w:jc w:val="both"/>
        <w:rPr>
          <w:color w:val="000000"/>
          <w:lang w:val="lv-LV" w:eastAsia="lv-LV"/>
        </w:rPr>
      </w:pPr>
      <w:r w:rsidRPr="004379FB">
        <w:rPr>
          <w:color w:val="000000"/>
          <w:lang w:val="lv-LV" w:eastAsia="lv-LV"/>
        </w:rPr>
        <w:t xml:space="preserve">B = </w:t>
      </w:r>
      <w:proofErr w:type="spellStart"/>
      <w:r w:rsidRPr="004379FB">
        <w:rPr>
          <w:color w:val="000000"/>
          <w:lang w:val="lv-LV" w:eastAsia="lv-LV"/>
        </w:rPr>
        <w:t>B</w:t>
      </w:r>
      <w:r w:rsidRPr="004379FB">
        <w:rPr>
          <w:color w:val="000000"/>
          <w:vertAlign w:val="subscript"/>
          <w:lang w:val="lv-LV" w:eastAsia="lv-LV"/>
        </w:rPr>
        <w:t>īsāk</w:t>
      </w:r>
      <w:proofErr w:type="spellEnd"/>
      <w:r w:rsidRPr="004379FB">
        <w:rPr>
          <w:color w:val="000000"/>
          <w:vertAlign w:val="subscript"/>
          <w:lang w:val="lv-LV" w:eastAsia="lv-LV"/>
        </w:rPr>
        <w:t xml:space="preserve"> / </w:t>
      </w:r>
      <w:proofErr w:type="spellStart"/>
      <w:r w:rsidRPr="004379FB">
        <w:rPr>
          <w:color w:val="000000"/>
          <w:lang w:val="lv-LV" w:eastAsia="lv-LV"/>
        </w:rPr>
        <w:t>B</w:t>
      </w:r>
      <w:r w:rsidRPr="004379FB">
        <w:rPr>
          <w:color w:val="000000"/>
          <w:vertAlign w:val="subscript"/>
          <w:lang w:val="lv-LV" w:eastAsia="lv-LV"/>
        </w:rPr>
        <w:t>pied</w:t>
      </w:r>
      <w:proofErr w:type="spellEnd"/>
      <w:r w:rsidRPr="004379FB">
        <w:rPr>
          <w:color w:val="000000"/>
          <w:vertAlign w:val="subscript"/>
          <w:lang w:val="lv-LV" w:eastAsia="lv-LV"/>
        </w:rPr>
        <w:t xml:space="preserve"> </w:t>
      </w:r>
      <w:r w:rsidRPr="004379FB">
        <w:rPr>
          <w:color w:val="000000"/>
          <w:lang w:val="lv-LV" w:eastAsia="lv-LV"/>
        </w:rPr>
        <w:t>x N</w:t>
      </w:r>
    </w:p>
    <w:p w:rsidR="004379FB" w:rsidRPr="004379FB" w:rsidRDefault="004379FB" w:rsidP="00DC6287">
      <w:pPr>
        <w:tabs>
          <w:tab w:val="left" w:pos="180"/>
          <w:tab w:val="left" w:pos="540"/>
        </w:tabs>
        <w:suppressAutoHyphens/>
        <w:ind w:firstLine="1"/>
        <w:jc w:val="both"/>
        <w:rPr>
          <w:color w:val="000000"/>
          <w:lang w:val="lv-LV" w:eastAsia="lv-LV"/>
        </w:rPr>
      </w:pPr>
      <w:r w:rsidRPr="004379FB">
        <w:rPr>
          <w:color w:val="000000"/>
          <w:lang w:val="lv-LV" w:eastAsia="lv-LV"/>
        </w:rPr>
        <w:t>(</w:t>
      </w:r>
      <w:proofErr w:type="spellStart"/>
      <w:r w:rsidRPr="004379FB">
        <w:rPr>
          <w:color w:val="000000"/>
          <w:lang w:val="lv-LV" w:eastAsia="lv-LV"/>
        </w:rPr>
        <w:t>B</w:t>
      </w:r>
      <w:r w:rsidRPr="004379FB">
        <w:rPr>
          <w:color w:val="000000"/>
          <w:vertAlign w:val="subscript"/>
          <w:lang w:val="lv-LV" w:eastAsia="lv-LV"/>
        </w:rPr>
        <w:t>īsāk</w:t>
      </w:r>
      <w:proofErr w:type="spellEnd"/>
      <w:r w:rsidRPr="004379FB">
        <w:rPr>
          <w:color w:val="000000"/>
          <w:vertAlign w:val="subscript"/>
          <w:lang w:val="lv-LV" w:eastAsia="lv-LV"/>
        </w:rPr>
        <w:t xml:space="preserve"> </w:t>
      </w:r>
      <w:r w:rsidRPr="004379FB">
        <w:rPr>
          <w:color w:val="000000"/>
          <w:lang w:val="lv-LV" w:eastAsia="lv-LV"/>
        </w:rPr>
        <w:t xml:space="preserve">– īsākais piedāvātais termiņš; </w:t>
      </w:r>
      <w:proofErr w:type="spellStart"/>
      <w:r w:rsidRPr="004379FB">
        <w:rPr>
          <w:color w:val="000000"/>
          <w:lang w:val="lv-LV" w:eastAsia="lv-LV"/>
        </w:rPr>
        <w:t>B</w:t>
      </w:r>
      <w:r w:rsidRPr="004379FB">
        <w:rPr>
          <w:color w:val="000000"/>
          <w:vertAlign w:val="subscript"/>
          <w:lang w:val="lv-LV" w:eastAsia="lv-LV"/>
        </w:rPr>
        <w:t>pied</w:t>
      </w:r>
      <w:proofErr w:type="spellEnd"/>
      <w:r w:rsidRPr="004379FB">
        <w:rPr>
          <w:color w:val="000000"/>
          <w:vertAlign w:val="subscript"/>
          <w:lang w:val="lv-LV" w:eastAsia="lv-LV"/>
        </w:rPr>
        <w:t xml:space="preserve"> </w:t>
      </w:r>
      <w:r w:rsidRPr="004379FB">
        <w:rPr>
          <w:color w:val="000000"/>
          <w:lang w:val="lv-LV" w:eastAsia="lv-LV"/>
        </w:rPr>
        <w:t>– izvērtējamais termiņš; N – kritērija maksimālā skaitliskā vērtība).</w:t>
      </w:r>
    </w:p>
    <w:p w:rsidR="004379FB" w:rsidRPr="004379FB" w:rsidRDefault="004379FB" w:rsidP="00DC6287">
      <w:pPr>
        <w:tabs>
          <w:tab w:val="left" w:pos="180"/>
          <w:tab w:val="left" w:pos="540"/>
        </w:tabs>
        <w:suppressAutoHyphens/>
        <w:ind w:firstLine="1"/>
        <w:jc w:val="both"/>
        <w:rPr>
          <w:color w:val="000000"/>
          <w:lang w:val="lv-LV" w:eastAsia="lv-LV"/>
        </w:rPr>
      </w:pPr>
    </w:p>
    <w:p w:rsidR="004379FB" w:rsidRPr="004379FB" w:rsidRDefault="004379FB" w:rsidP="00DC6287">
      <w:pPr>
        <w:suppressAutoHyphens/>
        <w:ind w:firstLine="720"/>
        <w:jc w:val="both"/>
        <w:rPr>
          <w:color w:val="000000"/>
          <w:lang w:val="lv-LV" w:eastAsia="lv-LV"/>
        </w:rPr>
      </w:pPr>
      <w:r w:rsidRPr="004379FB">
        <w:rPr>
          <w:color w:val="000000"/>
          <w:lang w:val="lv-LV" w:eastAsia="lv-LV"/>
        </w:rPr>
        <w:t xml:space="preserve">Piedāvātais Darbu izpildes ilgums jānorāda nedēļās, skaitot no līguma spēkā stāšanās dienas. </w:t>
      </w:r>
    </w:p>
    <w:p w:rsidR="004379FB" w:rsidRPr="004379FB" w:rsidRDefault="004379FB" w:rsidP="00DC6287">
      <w:pPr>
        <w:suppressAutoHyphens/>
        <w:ind w:firstLine="1"/>
        <w:jc w:val="both"/>
        <w:rPr>
          <w:color w:val="000000"/>
          <w:lang w:val="lv-LV" w:eastAsia="lv-LV"/>
        </w:rPr>
      </w:pPr>
      <w:r w:rsidRPr="004379FB">
        <w:rPr>
          <w:color w:val="000000"/>
          <w:lang w:val="lv-LV" w:eastAsia="lv-LV"/>
        </w:rPr>
        <w:t>Ja pretendents savā piedāvājumā būs norādījis nesamērīgi īsu Darbu izpildes ilgumu salīdzinājumā ar citu pretendentu piedāvāto Darbu izpildes ilgumu, vai arī Iepirkumu komisija secinās, ka atbilstoši Darbu specifikai un/vai tehnoloģijai, pretendenta piedāvātajā Darbu izpildes ilgumā nav iespējams kvalitatīvi veikt Darbus, šāds piedāvājums tiks noraidīts, kā neatbilstošs Iepirkuma konkursa prasībām un tālāk netiks vērtēts.</w:t>
      </w:r>
    </w:p>
    <w:p w:rsidR="004379FB" w:rsidRPr="004379FB" w:rsidRDefault="004379FB" w:rsidP="00DC6287">
      <w:pPr>
        <w:suppressAutoHyphens/>
        <w:ind w:firstLine="1"/>
        <w:jc w:val="both"/>
        <w:rPr>
          <w:color w:val="000000"/>
          <w:lang w:val="lv-LV" w:eastAsia="lv-LV"/>
        </w:rPr>
      </w:pPr>
      <w:r w:rsidRPr="004379FB">
        <w:rPr>
          <w:color w:val="000000"/>
          <w:lang w:val="lv-LV" w:eastAsia="lv-LV"/>
        </w:rPr>
        <w:t>Saimnieciski visizdevīgākā piedāvājuma noteikšana:</w:t>
      </w:r>
    </w:p>
    <w:p w:rsidR="004379FB" w:rsidRPr="004379FB" w:rsidRDefault="004379FB" w:rsidP="00DC6287">
      <w:pPr>
        <w:suppressAutoHyphens/>
        <w:ind w:firstLine="1"/>
        <w:jc w:val="both"/>
        <w:rPr>
          <w:b/>
          <w:color w:val="000000"/>
          <w:lang w:val="lv-LV" w:eastAsia="lv-LV"/>
        </w:rPr>
      </w:pPr>
      <w:r w:rsidRPr="004379FB">
        <w:rPr>
          <w:b/>
          <w:color w:val="000000"/>
          <w:lang w:val="lv-LV" w:eastAsia="lv-LV"/>
        </w:rPr>
        <w:t>D = A+B</w:t>
      </w:r>
    </w:p>
    <w:p w:rsidR="00047DDA" w:rsidRPr="00CF0C2E" w:rsidRDefault="004379FB" w:rsidP="00DC6287">
      <w:pPr>
        <w:suppressAutoHyphens/>
        <w:ind w:firstLine="1"/>
        <w:jc w:val="both"/>
        <w:rPr>
          <w:color w:val="000000"/>
          <w:lang w:val="lv-LV" w:eastAsia="lv-LV"/>
        </w:rPr>
      </w:pPr>
      <w:r w:rsidRPr="004379FB">
        <w:rPr>
          <w:b/>
          <w:color w:val="000000"/>
          <w:lang w:val="lv-LV" w:eastAsia="lv-LV"/>
        </w:rPr>
        <w:t>8.4. </w:t>
      </w:r>
      <w:r w:rsidRPr="004379FB">
        <w:rPr>
          <w:color w:val="000000"/>
          <w:lang w:val="lv-LV" w:eastAsia="lv-LV"/>
        </w:rPr>
        <w:t>Par saimnieciski visizdevīgāko piedāvājumu tiek atzīts piedāvājums, kurš atbilstoši Nolikumā noteiktajiem vērtēšanas kritērijiem ieguvis vislielāko kopējo punktu skaitu</w:t>
      </w:r>
      <w:r w:rsidR="00047DDA" w:rsidRPr="00CF0C2E">
        <w:rPr>
          <w:color w:val="000000"/>
          <w:lang w:val="lv-LV" w:eastAsia="lv-LV"/>
        </w:rPr>
        <w:t>"</w:t>
      </w:r>
      <w:r>
        <w:rPr>
          <w:color w:val="000000"/>
          <w:lang w:val="lv-LV" w:eastAsia="lv-LV"/>
        </w:rPr>
        <w:t>.</w:t>
      </w:r>
    </w:p>
    <w:p w:rsidR="00047DDA" w:rsidRPr="00101C1F" w:rsidRDefault="00047DDA" w:rsidP="00DC6287">
      <w:pPr>
        <w:ind w:right="-1" w:firstLine="1"/>
        <w:jc w:val="both"/>
        <w:rPr>
          <w:b/>
          <w:highlight w:val="yellow"/>
          <w:lang w:val="lv-LV"/>
        </w:rPr>
      </w:pPr>
    </w:p>
    <w:p w:rsidR="003F3E40" w:rsidRPr="004379FB" w:rsidRDefault="00B67C54" w:rsidP="00DC6287">
      <w:pPr>
        <w:ind w:right="-1" w:firstLine="1"/>
        <w:jc w:val="both"/>
        <w:rPr>
          <w:lang w:val="lv-LV"/>
        </w:rPr>
      </w:pPr>
      <w:r w:rsidRPr="004379FB">
        <w:rPr>
          <w:b/>
          <w:lang w:val="lv-LV"/>
        </w:rPr>
        <w:t xml:space="preserve">9. </w:t>
      </w:r>
      <w:r w:rsidR="00243D00" w:rsidRPr="004379FB">
        <w:rPr>
          <w:b/>
          <w:lang w:val="lv-LV"/>
        </w:rPr>
        <w:t>P</w:t>
      </w:r>
      <w:r w:rsidRPr="004379FB">
        <w:rPr>
          <w:b/>
          <w:lang w:val="lv-LV"/>
        </w:rPr>
        <w:t>iedāvājuma vērtēšanas kopsavilkums:</w:t>
      </w:r>
    </w:p>
    <w:p w:rsidR="001C70C9" w:rsidRPr="006B7993" w:rsidRDefault="001C70C9" w:rsidP="00DC6287">
      <w:pPr>
        <w:widowControl w:val="0"/>
        <w:ind w:right="56" w:firstLine="720"/>
        <w:jc w:val="both"/>
        <w:rPr>
          <w:lang w:val="lv-LV"/>
        </w:rPr>
      </w:pPr>
      <w:r w:rsidRPr="006B7993">
        <w:rPr>
          <w:rFonts w:eastAsiaTheme="minorHAnsi" w:cstheme="minorBidi"/>
          <w:lang w:val="lv-LV"/>
        </w:rPr>
        <w:t>Pirms uzsākt PS "VAAB"</w:t>
      </w:r>
      <w:r w:rsidRPr="006B7993">
        <w:rPr>
          <w:lang w:val="lv-LV"/>
        </w:rPr>
        <w:t xml:space="preserve"> </w:t>
      </w:r>
      <w:r w:rsidRPr="006B7993">
        <w:rPr>
          <w:rFonts w:eastAsiaTheme="minorHAnsi" w:cstheme="minorBidi"/>
          <w:lang w:val="lv-LV"/>
        </w:rPr>
        <w:t xml:space="preserve">reģistrācijas Nr.40103874946, piedāvājuma vērtēšanu, Iepirkumu komisija informē, ka </w:t>
      </w:r>
      <w:r>
        <w:rPr>
          <w:rFonts w:eastAsiaTheme="minorHAnsi" w:cstheme="minorBidi"/>
          <w:lang w:val="lv-LV"/>
        </w:rPr>
        <w:t>Iepirkuma n</w:t>
      </w:r>
      <w:r w:rsidRPr="006B7993">
        <w:rPr>
          <w:rFonts w:eastAsiaTheme="minorHAnsi" w:cstheme="minorBidi"/>
          <w:lang w:val="lv-LV"/>
        </w:rPr>
        <w:t>olikuma</w:t>
      </w:r>
      <w:r>
        <w:rPr>
          <w:rFonts w:eastAsiaTheme="minorHAnsi" w:cstheme="minorBidi"/>
          <w:lang w:val="lv-LV"/>
        </w:rPr>
        <w:t xml:space="preserve"> </w:t>
      </w:r>
      <w:r w:rsidRPr="006B7993">
        <w:rPr>
          <w:rFonts w:eastAsiaTheme="minorHAnsi" w:cstheme="minorBidi"/>
          <w:lang w:val="lv-LV"/>
        </w:rPr>
        <w:t xml:space="preserve">1.3.3. apakšpunktā ir norādīts </w:t>
      </w:r>
      <w:r>
        <w:rPr>
          <w:rFonts w:eastAsiaTheme="minorHAnsi" w:cstheme="minorBidi"/>
          <w:lang w:val="lv-LV"/>
        </w:rPr>
        <w:t>–</w:t>
      </w:r>
      <w:r w:rsidRPr="006B7993">
        <w:rPr>
          <w:rFonts w:eastAsiaTheme="minorHAnsi" w:cstheme="minorBidi"/>
          <w:lang w:val="lv-LV"/>
        </w:rPr>
        <w:t xml:space="preserve"> </w:t>
      </w:r>
      <w:r w:rsidRPr="006B7993">
        <w:rPr>
          <w:lang w:val="lv-LV"/>
        </w:rPr>
        <w:t xml:space="preserve">paredzamais finansējums Iepirkuma priekšmetā minēto darbu veikšanai ir līdz  180 000,00 EUR (viens simts astoņdesmit tūkstoši </w:t>
      </w:r>
      <w:proofErr w:type="spellStart"/>
      <w:r w:rsidRPr="006B7993">
        <w:rPr>
          <w:i/>
          <w:lang w:val="lv-LV"/>
        </w:rPr>
        <w:t>euro</w:t>
      </w:r>
      <w:proofErr w:type="spellEnd"/>
      <w:r w:rsidRPr="006B7993">
        <w:rPr>
          <w:lang w:val="lv-LV"/>
        </w:rPr>
        <w:t xml:space="preserve"> un 00 centi).</w:t>
      </w:r>
    </w:p>
    <w:p w:rsidR="001C70C9" w:rsidRDefault="001C70C9" w:rsidP="00DC6287">
      <w:pPr>
        <w:widowControl w:val="0"/>
        <w:ind w:right="56" w:firstLine="720"/>
        <w:jc w:val="both"/>
        <w:rPr>
          <w:lang w:val="lv-LV"/>
        </w:rPr>
      </w:pPr>
      <w:r w:rsidRPr="006B7993">
        <w:rPr>
          <w:lang w:val="lv-LV"/>
        </w:rPr>
        <w:t xml:space="preserve">PS "VAAB" reģistrācijas Nr.40103874946, iesniegtā finanšu piedāvājuma paredzētā līgumcena ir 300695,50 EUR (trīs simti tūkstoši seši simti deviņdesmit pieci </w:t>
      </w:r>
      <w:proofErr w:type="spellStart"/>
      <w:r w:rsidRPr="006B7993">
        <w:rPr>
          <w:i/>
          <w:lang w:val="lv-LV"/>
        </w:rPr>
        <w:t>euro</w:t>
      </w:r>
      <w:proofErr w:type="spellEnd"/>
      <w:r w:rsidRPr="006B7993">
        <w:rPr>
          <w:lang w:val="lv-LV"/>
        </w:rPr>
        <w:t xml:space="preserve"> un 50 </w:t>
      </w:r>
      <w:r w:rsidRPr="00C36FD9">
        <w:rPr>
          <w:lang w:val="lv-LV"/>
        </w:rPr>
        <w:t>centi</w:t>
      </w:r>
      <w:r w:rsidRPr="006B7993">
        <w:rPr>
          <w:lang w:val="lv-LV"/>
        </w:rPr>
        <w:t>).</w:t>
      </w:r>
    </w:p>
    <w:p w:rsidR="001C70C9" w:rsidRDefault="001C70C9" w:rsidP="00DC6287">
      <w:pPr>
        <w:widowControl w:val="0"/>
        <w:ind w:right="56" w:firstLine="1"/>
        <w:jc w:val="both"/>
        <w:rPr>
          <w:lang w:val="lv-LV"/>
        </w:rPr>
      </w:pPr>
      <w:r>
        <w:rPr>
          <w:lang w:val="lv-LV"/>
        </w:rPr>
        <w:t xml:space="preserve">Iepirkumu komisija </w:t>
      </w:r>
      <w:r w:rsidRPr="00591C22">
        <w:rPr>
          <w:lang w:val="lv-LV"/>
        </w:rPr>
        <w:t xml:space="preserve"> informē, ka ņemot vērā to, ka pretendenta iesniegtais finanšu piedāvājums pārsniedz Pārvaldes paredzētos finanšu līdzekļus un izmaksas attiecīgo pakalpojumu saņemšanai, kā arī pamatojoties uz Publiskas personas finanšu līdzekļu un mantas izšķērdēšanas novēršanas likuma 3.</w:t>
      </w:r>
      <w:r>
        <w:rPr>
          <w:lang w:val="lv-LV"/>
        </w:rPr>
        <w:t xml:space="preserve"> </w:t>
      </w:r>
      <w:r w:rsidRPr="00591C22">
        <w:rPr>
          <w:lang w:val="lv-LV"/>
        </w:rPr>
        <w:t>panta 1.</w:t>
      </w:r>
      <w:r>
        <w:rPr>
          <w:lang w:val="lv-LV"/>
        </w:rPr>
        <w:t xml:space="preserve"> </w:t>
      </w:r>
      <w:r w:rsidRPr="00591C22">
        <w:rPr>
          <w:lang w:val="lv-LV"/>
        </w:rPr>
        <w:t>punktu, kas noteic, ka publiska persona, kā arī kapitālsabiedrība rīkojas ar finanšu līdzekļiem un mantu lietderīgi, tas ir – rīcībai jābūt tādai, lai mērķi sasniegtu ar mazāko finanšu līdzekļu un mantas izlietojumu</w:t>
      </w:r>
      <w:r>
        <w:rPr>
          <w:lang w:val="lv-LV"/>
        </w:rPr>
        <w:t>, Iepirkums jāizbeidz.</w:t>
      </w:r>
    </w:p>
    <w:p w:rsidR="001C70C9" w:rsidRPr="00591C22" w:rsidRDefault="001C70C9" w:rsidP="00DC6287">
      <w:pPr>
        <w:spacing w:before="120" w:after="120"/>
        <w:ind w:firstLine="720"/>
        <w:jc w:val="both"/>
        <w:rPr>
          <w:lang w:val="lv-LV"/>
        </w:rPr>
      </w:pPr>
      <w:r>
        <w:rPr>
          <w:lang w:val="lv-LV"/>
        </w:rPr>
        <w:t>Ņemot vērā iepriekš minēto un p</w:t>
      </w:r>
      <w:r w:rsidRPr="006B7993">
        <w:rPr>
          <w:lang w:val="lv-LV"/>
        </w:rPr>
        <w:t>amatojoties uz 2017. gada 28. februāra Ministru kabine</w:t>
      </w:r>
      <w:r>
        <w:rPr>
          <w:lang w:val="lv-LV"/>
        </w:rPr>
        <w:t>ta noteikumu Nr.107 </w:t>
      </w:r>
      <w:r w:rsidRPr="006B7993">
        <w:rPr>
          <w:lang w:val="lv-LV"/>
        </w:rPr>
        <w:t>"Iepirkuma procedūru un metu konkursu norises kārtība" 229.4. punktu</w:t>
      </w:r>
      <w:r>
        <w:rPr>
          <w:lang w:val="lv-LV"/>
        </w:rPr>
        <w:t>, Iepirkumu komisija nolemj</w:t>
      </w:r>
      <w:r w:rsidRPr="006B7993">
        <w:rPr>
          <w:lang w:val="lv-LV"/>
        </w:rPr>
        <w:t xml:space="preserve"> izbeigt Iepirkumu, jo pretendenta finanšu piedāvājums pārsniedz plānoto līgumcenu</w:t>
      </w:r>
      <w:r>
        <w:rPr>
          <w:lang w:val="lv-LV"/>
        </w:rPr>
        <w:t>.</w:t>
      </w:r>
    </w:p>
    <w:p w:rsidR="00CF0C2E" w:rsidRPr="00FA0721" w:rsidRDefault="00CF0C2E" w:rsidP="001C70C9">
      <w:pPr>
        <w:ind w:right="-1"/>
        <w:jc w:val="both"/>
        <w:rPr>
          <w:lang w:val="lv-LV"/>
        </w:rPr>
      </w:pPr>
    </w:p>
    <w:p w:rsidR="00F87869" w:rsidRPr="00101C1F" w:rsidRDefault="00F87869" w:rsidP="001C70C9">
      <w:pPr>
        <w:spacing w:before="120" w:after="120"/>
        <w:ind w:right="-1"/>
        <w:jc w:val="both"/>
        <w:rPr>
          <w:rFonts w:eastAsiaTheme="minorHAnsi"/>
          <w:b/>
          <w:noProof/>
          <w:highlight w:val="yellow"/>
          <w:u w:val="single"/>
          <w:lang w:val="lv-LV"/>
        </w:rPr>
      </w:pPr>
    </w:p>
    <w:p w:rsidR="00F51744" w:rsidRPr="00101C1F" w:rsidRDefault="00F51744" w:rsidP="001C70C9">
      <w:pPr>
        <w:spacing w:before="120"/>
        <w:ind w:right="-1"/>
        <w:jc w:val="both"/>
        <w:rPr>
          <w:rFonts w:eastAsiaTheme="minorHAnsi"/>
          <w:noProof/>
          <w:color w:val="000000"/>
          <w:highlight w:val="yellow"/>
          <w:lang w:val="lv-LV"/>
        </w:rPr>
      </w:pPr>
    </w:p>
    <w:p w:rsidR="00294BD4" w:rsidRPr="00294EDF" w:rsidRDefault="00F51744" w:rsidP="001C70C9">
      <w:pPr>
        <w:tabs>
          <w:tab w:val="right" w:pos="9639"/>
        </w:tabs>
        <w:spacing w:before="480" w:after="120"/>
        <w:ind w:right="-1"/>
        <w:jc w:val="both"/>
        <w:rPr>
          <w:lang w:val="lv-LV"/>
        </w:rPr>
      </w:pPr>
      <w:r w:rsidRPr="00F87869">
        <w:rPr>
          <w:rFonts w:cstheme="minorBidi"/>
          <w:lang w:val="lv-LV"/>
        </w:rPr>
        <w:t xml:space="preserve">Sagatavotājs:                                                                                                          </w:t>
      </w:r>
      <w:r w:rsidR="00E232B3" w:rsidRPr="00F87869">
        <w:rPr>
          <w:rFonts w:cstheme="minorBidi"/>
          <w:lang w:val="lv-LV"/>
        </w:rPr>
        <w:t xml:space="preserve">  </w:t>
      </w:r>
      <w:r w:rsidR="001C70C9">
        <w:rPr>
          <w:rFonts w:cstheme="minorBidi"/>
          <w:lang w:val="lv-LV"/>
        </w:rPr>
        <w:t xml:space="preserve">     </w:t>
      </w:r>
      <w:r w:rsidRPr="00F87869">
        <w:rPr>
          <w:rFonts w:cstheme="minorBidi"/>
          <w:lang w:val="lv-LV"/>
        </w:rPr>
        <w:t xml:space="preserve"> </w:t>
      </w:r>
      <w:r w:rsidR="001C70C9">
        <w:rPr>
          <w:rFonts w:cstheme="minorBidi"/>
          <w:lang w:val="lv-LV"/>
        </w:rPr>
        <w:t>I. Mazlazdiņa</w:t>
      </w:r>
    </w:p>
    <w:sectPr w:rsidR="00294BD4" w:rsidRPr="00294EDF" w:rsidSect="001F197B">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5B1" w:rsidRDefault="00FD25B1" w:rsidP="00B67C54">
      <w:r>
        <w:separator/>
      </w:r>
    </w:p>
  </w:endnote>
  <w:endnote w:type="continuationSeparator" w:id="0">
    <w:p w:rsidR="00FD25B1" w:rsidRDefault="00FD25B1"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5B1" w:rsidRDefault="00FD25B1" w:rsidP="00B67C54">
      <w:r>
        <w:separator/>
      </w:r>
    </w:p>
  </w:footnote>
  <w:footnote w:type="continuationSeparator" w:id="0">
    <w:p w:rsidR="00FD25B1" w:rsidRDefault="00FD25B1"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605780"/>
      <w:docPartObj>
        <w:docPartGallery w:val="Page Numbers (Top of Page)"/>
        <w:docPartUnique/>
      </w:docPartObj>
    </w:sdtPr>
    <w:sdtEndPr>
      <w:rPr>
        <w:noProof/>
      </w:rPr>
    </w:sdtEndPr>
    <w:sdtContent>
      <w:p w:rsidR="0049269C" w:rsidRDefault="0049269C">
        <w:pPr>
          <w:jc w:val="center"/>
        </w:pPr>
        <w:r>
          <w:fldChar w:fldCharType="begin"/>
        </w:r>
        <w:r>
          <w:instrText xml:space="preserve"> PAGE   \* MERGEFORMAT </w:instrText>
        </w:r>
        <w:r>
          <w:fldChar w:fldCharType="separate"/>
        </w:r>
        <w:r w:rsidR="00DC385C">
          <w:rPr>
            <w:noProof/>
          </w:rPr>
          <w:t>4</w:t>
        </w:r>
        <w:r>
          <w:rPr>
            <w:noProof/>
          </w:rPr>
          <w:fldChar w:fldCharType="end"/>
        </w:r>
      </w:p>
    </w:sdtContent>
  </w:sdt>
  <w:p w:rsidR="0049269C" w:rsidRDefault="004926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1E0149F"/>
    <w:multiLevelType w:val="hybridMultilevel"/>
    <w:tmpl w:val="63981A9C"/>
    <w:lvl w:ilvl="0" w:tplc="CD408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2AF3511"/>
    <w:multiLevelType w:val="hybridMultilevel"/>
    <w:tmpl w:val="1EEEDFB0"/>
    <w:lvl w:ilvl="0" w:tplc="04260001">
      <w:start w:val="1"/>
      <w:numFmt w:val="bullet"/>
      <w:lvlText w:val=""/>
      <w:lvlJc w:val="left"/>
      <w:pPr>
        <w:ind w:left="1485" w:hanging="360"/>
      </w:pPr>
      <w:rPr>
        <w:rFonts w:ascii="Symbol" w:hAnsi="Symbol"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 w15:restartNumberingAfterBreak="0">
    <w:nsid w:val="02D3170F"/>
    <w:multiLevelType w:val="hybridMultilevel"/>
    <w:tmpl w:val="79681B6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084F6FEE"/>
    <w:multiLevelType w:val="hybridMultilevel"/>
    <w:tmpl w:val="A38A94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7" w15:restartNumberingAfterBreak="0">
    <w:nsid w:val="1782017F"/>
    <w:multiLevelType w:val="multilevel"/>
    <w:tmpl w:val="AB66F854"/>
    <w:lvl w:ilvl="0">
      <w:start w:val="1"/>
      <w:numFmt w:val="decimal"/>
      <w:lvlText w:val="%1."/>
      <w:lvlJc w:val="left"/>
      <w:pPr>
        <w:ind w:left="927" w:hanging="360"/>
      </w:pPr>
      <w:rPr>
        <w:rFonts w:hint="default"/>
      </w:rPr>
    </w:lvl>
    <w:lvl w:ilvl="1">
      <w:start w:val="1"/>
      <w:numFmt w:val="decimal"/>
      <w:isLgl/>
      <w:lvlText w:val="%1.%2."/>
      <w:lvlJc w:val="left"/>
      <w:pPr>
        <w:ind w:left="1554"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1C2611B7"/>
    <w:multiLevelType w:val="multilevel"/>
    <w:tmpl w:val="0426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4E1622D"/>
    <w:multiLevelType w:val="hybridMultilevel"/>
    <w:tmpl w:val="C4AC857C"/>
    <w:lvl w:ilvl="0" w:tplc="5A4C9C86">
      <w:start w:val="5"/>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2"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3"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EED52B2"/>
    <w:multiLevelType w:val="multilevel"/>
    <w:tmpl w:val="E0CC758C"/>
    <w:lvl w:ilvl="0">
      <w:start w:val="1"/>
      <w:numFmt w:val="decimal"/>
      <w:lvlText w:val="%1."/>
      <w:lvlJc w:val="left"/>
      <w:pPr>
        <w:ind w:left="720" w:hanging="360"/>
      </w:pPr>
      <w:rPr>
        <w:rFonts w:cs="Times New Roman" w:hint="default"/>
        <w:b w:val="0"/>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0E711B6"/>
    <w:multiLevelType w:val="hybridMultilevel"/>
    <w:tmpl w:val="1E1A0F2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43C35148"/>
    <w:multiLevelType w:val="hybridMultilevel"/>
    <w:tmpl w:val="E1120F9A"/>
    <w:lvl w:ilvl="0" w:tplc="CDCE04CC">
      <w:start w:val="5"/>
      <w:numFmt w:val="bullet"/>
      <w:suff w:val="space"/>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F6E6868"/>
    <w:multiLevelType w:val="multilevel"/>
    <w:tmpl w:val="DA8CB9B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0"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1"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E020EAB"/>
    <w:multiLevelType w:val="hybridMultilevel"/>
    <w:tmpl w:val="761EDEB0"/>
    <w:lvl w:ilvl="0" w:tplc="5A4C9C86">
      <w:start w:val="5"/>
      <w:numFmt w:val="bullet"/>
      <w:lvlText w:val="-"/>
      <w:lvlJc w:val="left"/>
      <w:pPr>
        <w:ind w:left="1004" w:hanging="360"/>
      </w:pPr>
      <w:rPr>
        <w:rFonts w:ascii="Times New Roman" w:eastAsia="Times New Roman" w:hAnsi="Times New Roman"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3"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8AC42DE"/>
    <w:multiLevelType w:val="multilevel"/>
    <w:tmpl w:val="DFC05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9"/>
  </w:num>
  <w:num w:numId="3">
    <w:abstractNumId w:val="23"/>
  </w:num>
  <w:num w:numId="4">
    <w:abstractNumId w:val="10"/>
  </w:num>
  <w:num w:numId="5">
    <w:abstractNumId w:val="21"/>
  </w:num>
  <w:num w:numId="6">
    <w:abstractNumId w:val="12"/>
  </w:num>
  <w:num w:numId="7">
    <w:abstractNumId w:val="6"/>
  </w:num>
  <w:num w:numId="8">
    <w:abstractNumId w:val="0"/>
  </w:num>
  <w:num w:numId="9">
    <w:abstractNumId w:val="17"/>
  </w:num>
  <w:num w:numId="10">
    <w:abstractNumId w:val="20"/>
  </w:num>
  <w:num w:numId="11">
    <w:abstractNumId w:val="14"/>
  </w:num>
  <w:num w:numId="12">
    <w:abstractNumId w:val="5"/>
  </w:num>
  <w:num w:numId="13">
    <w:abstractNumId w:val="1"/>
  </w:num>
  <w:num w:numId="14">
    <w:abstractNumId w:val="8"/>
  </w:num>
  <w:num w:numId="15">
    <w:abstractNumId w:val="25"/>
  </w:num>
  <w:num w:numId="16">
    <w:abstractNumId w:val="4"/>
  </w:num>
  <w:num w:numId="17">
    <w:abstractNumId w:val="3"/>
  </w:num>
  <w:num w:numId="18">
    <w:abstractNumId w:val="7"/>
  </w:num>
  <w:num w:numId="19">
    <w:abstractNumId w:val="19"/>
  </w:num>
  <w:num w:numId="20">
    <w:abstractNumId w:val="24"/>
  </w:num>
  <w:num w:numId="21">
    <w:abstractNumId w:val="2"/>
  </w:num>
  <w:num w:numId="22">
    <w:abstractNumId w:val="22"/>
  </w:num>
  <w:num w:numId="23">
    <w:abstractNumId w:val="16"/>
  </w:num>
  <w:num w:numId="24">
    <w:abstractNumId w:val="11"/>
  </w:num>
  <w:num w:numId="25">
    <w:abstractNumId w:val="1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47DDA"/>
    <w:rsid w:val="00050E94"/>
    <w:rsid w:val="00054E94"/>
    <w:rsid w:val="00073F51"/>
    <w:rsid w:val="0007686C"/>
    <w:rsid w:val="00076E0F"/>
    <w:rsid w:val="0008023F"/>
    <w:rsid w:val="00081FB2"/>
    <w:rsid w:val="000957F1"/>
    <w:rsid w:val="00096F94"/>
    <w:rsid w:val="000A32AA"/>
    <w:rsid w:val="000A5A28"/>
    <w:rsid w:val="000B42F7"/>
    <w:rsid w:val="000C36C9"/>
    <w:rsid w:val="000E6730"/>
    <w:rsid w:val="000F0754"/>
    <w:rsid w:val="00101C1F"/>
    <w:rsid w:val="0010233F"/>
    <w:rsid w:val="00102985"/>
    <w:rsid w:val="001127A1"/>
    <w:rsid w:val="0011309D"/>
    <w:rsid w:val="00114FB4"/>
    <w:rsid w:val="00123A45"/>
    <w:rsid w:val="00123B51"/>
    <w:rsid w:val="001262BC"/>
    <w:rsid w:val="00132818"/>
    <w:rsid w:val="00135CC9"/>
    <w:rsid w:val="00150EA7"/>
    <w:rsid w:val="001544A9"/>
    <w:rsid w:val="00176C4A"/>
    <w:rsid w:val="00190784"/>
    <w:rsid w:val="001A7FAC"/>
    <w:rsid w:val="001B11BB"/>
    <w:rsid w:val="001C1116"/>
    <w:rsid w:val="001C6806"/>
    <w:rsid w:val="001C70C9"/>
    <w:rsid w:val="001E714E"/>
    <w:rsid w:val="001F1216"/>
    <w:rsid w:val="001F197B"/>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85FFF"/>
    <w:rsid w:val="00294BD4"/>
    <w:rsid w:val="00294EDF"/>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678A1"/>
    <w:rsid w:val="00373FAB"/>
    <w:rsid w:val="00382447"/>
    <w:rsid w:val="003839DC"/>
    <w:rsid w:val="00385162"/>
    <w:rsid w:val="00394645"/>
    <w:rsid w:val="003A7604"/>
    <w:rsid w:val="003B0567"/>
    <w:rsid w:val="003B158B"/>
    <w:rsid w:val="003B1ABD"/>
    <w:rsid w:val="003B4CD9"/>
    <w:rsid w:val="003B7FF4"/>
    <w:rsid w:val="003C144A"/>
    <w:rsid w:val="003C3885"/>
    <w:rsid w:val="003C6F35"/>
    <w:rsid w:val="003D4A5A"/>
    <w:rsid w:val="003F0C16"/>
    <w:rsid w:val="003F3E40"/>
    <w:rsid w:val="003F45F6"/>
    <w:rsid w:val="003F47D0"/>
    <w:rsid w:val="00407FED"/>
    <w:rsid w:val="00420CD0"/>
    <w:rsid w:val="004379FB"/>
    <w:rsid w:val="00445C88"/>
    <w:rsid w:val="004506DB"/>
    <w:rsid w:val="00450DCC"/>
    <w:rsid w:val="00451477"/>
    <w:rsid w:val="004515D5"/>
    <w:rsid w:val="00460FCD"/>
    <w:rsid w:val="004610A1"/>
    <w:rsid w:val="004757FE"/>
    <w:rsid w:val="00484FE8"/>
    <w:rsid w:val="0049269C"/>
    <w:rsid w:val="004971C3"/>
    <w:rsid w:val="004B07C8"/>
    <w:rsid w:val="004B4B4A"/>
    <w:rsid w:val="004C3EDB"/>
    <w:rsid w:val="004C4EA2"/>
    <w:rsid w:val="004C6516"/>
    <w:rsid w:val="004E24D1"/>
    <w:rsid w:val="004E51EE"/>
    <w:rsid w:val="004F30F1"/>
    <w:rsid w:val="004F51C2"/>
    <w:rsid w:val="004F5B0B"/>
    <w:rsid w:val="00511229"/>
    <w:rsid w:val="00511366"/>
    <w:rsid w:val="00511661"/>
    <w:rsid w:val="00523C87"/>
    <w:rsid w:val="005247E8"/>
    <w:rsid w:val="00533037"/>
    <w:rsid w:val="0053415A"/>
    <w:rsid w:val="0053563B"/>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D5872"/>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38B6"/>
    <w:rsid w:val="00894772"/>
    <w:rsid w:val="008A1094"/>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4496"/>
    <w:rsid w:val="00986A63"/>
    <w:rsid w:val="00993913"/>
    <w:rsid w:val="009A1981"/>
    <w:rsid w:val="009C2B4A"/>
    <w:rsid w:val="009C6880"/>
    <w:rsid w:val="009D1BC2"/>
    <w:rsid w:val="009D3579"/>
    <w:rsid w:val="009D6720"/>
    <w:rsid w:val="009E2299"/>
    <w:rsid w:val="009F03D9"/>
    <w:rsid w:val="009F3DD2"/>
    <w:rsid w:val="00A00B25"/>
    <w:rsid w:val="00A01428"/>
    <w:rsid w:val="00A01BC2"/>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9747F"/>
    <w:rsid w:val="00AA08D1"/>
    <w:rsid w:val="00AC4CE4"/>
    <w:rsid w:val="00AD7743"/>
    <w:rsid w:val="00AE1D73"/>
    <w:rsid w:val="00AF1248"/>
    <w:rsid w:val="00B052B2"/>
    <w:rsid w:val="00B0544E"/>
    <w:rsid w:val="00B349C2"/>
    <w:rsid w:val="00B36E32"/>
    <w:rsid w:val="00B41A48"/>
    <w:rsid w:val="00B4251C"/>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CF0C2E"/>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385C"/>
    <w:rsid w:val="00DC6287"/>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4130"/>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1712"/>
    <w:rsid w:val="00F771D3"/>
    <w:rsid w:val="00F87869"/>
    <w:rsid w:val="00F97667"/>
    <w:rsid w:val="00FA1E47"/>
    <w:rsid w:val="00FB233F"/>
    <w:rsid w:val="00FC1CAB"/>
    <w:rsid w:val="00FD20DD"/>
    <w:rsid w:val="00FD25B1"/>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73FAB"/>
  </w:style>
  <w:style w:type="table" w:customStyle="1" w:styleId="TableGrid4">
    <w:name w:val="Table Grid4"/>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373FAB"/>
    <w:pPr>
      <w:spacing w:before="75" w:after="75"/>
      <w:ind w:firstLine="375"/>
      <w:jc w:val="both"/>
    </w:pPr>
    <w:rPr>
      <w:lang w:val="lv-LV"/>
    </w:rPr>
  </w:style>
  <w:style w:type="character" w:styleId="Hyperlink">
    <w:name w:val="Hyperlink"/>
    <w:uiPriority w:val="99"/>
    <w:semiHidden/>
    <w:unhideWhenUsed/>
    <w:rsid w:val="00373FAB"/>
    <w:rPr>
      <w:color w:val="0000FF"/>
      <w:u w:val="single"/>
    </w:rPr>
  </w:style>
  <w:style w:type="paragraph" w:styleId="BodyText">
    <w:name w:val="Body Text"/>
    <w:basedOn w:val="Normal"/>
    <w:link w:val="BodyTextChar"/>
    <w:uiPriority w:val="99"/>
    <w:semiHidden/>
    <w:unhideWhenUsed/>
    <w:rsid w:val="00373FAB"/>
    <w:pPr>
      <w:spacing w:after="120"/>
    </w:pPr>
  </w:style>
  <w:style w:type="character" w:customStyle="1" w:styleId="BodyTextChar">
    <w:name w:val="Body Text Char"/>
    <w:basedOn w:val="DefaultParagraphFont"/>
    <w:link w:val="BodyText"/>
    <w:uiPriority w:val="99"/>
    <w:semiHidden/>
    <w:rsid w:val="00373FAB"/>
    <w:rPr>
      <w:rFonts w:ascii="Times New Roman" w:eastAsia="Times New Roman" w:hAnsi="Times New Roman" w:cs="Times New Roman"/>
      <w:sz w:val="24"/>
      <w:szCs w:val="24"/>
      <w:lang w:val="en-US"/>
    </w:rPr>
  </w:style>
  <w:style w:type="paragraph" w:styleId="Revision">
    <w:name w:val="Revision"/>
    <w:hidden/>
    <w:uiPriority w:val="99"/>
    <w:semiHidden/>
    <w:rsid w:val="00373FAB"/>
    <w:pPr>
      <w:spacing w:before="0" w:beforeAutospacing="0"/>
    </w:pPr>
    <w:rPr>
      <w:rFonts w:ascii="Times New Roman" w:eastAsia="Times New Roman" w:hAnsi="Times New Roman" w:cs="Times New Roman"/>
      <w:sz w:val="24"/>
      <w:szCs w:val="24"/>
      <w:lang w:val="en-US"/>
    </w:rPr>
  </w:style>
  <w:style w:type="table" w:customStyle="1" w:styleId="TableGrid11">
    <w:name w:val="Table Grid11"/>
    <w:basedOn w:val="TableNormal"/>
    <w:next w:val="TableGrid"/>
    <w:uiPriority w:val="59"/>
    <w:rsid w:val="00373FAB"/>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uiPriority w:val="99"/>
    <w:semiHidden/>
    <w:rsid w:val="00373FAB"/>
  </w:style>
  <w:style w:type="paragraph" w:styleId="EndnoteText">
    <w:name w:val="endnote text"/>
    <w:basedOn w:val="Normal"/>
    <w:link w:val="EndnoteTextChar"/>
    <w:uiPriority w:val="99"/>
    <w:semiHidden/>
    <w:unhideWhenUsed/>
    <w:rsid w:val="00373FAB"/>
    <w:rPr>
      <w:sz w:val="20"/>
      <w:szCs w:val="20"/>
    </w:rPr>
  </w:style>
  <w:style w:type="character" w:customStyle="1" w:styleId="EndnoteTextChar">
    <w:name w:val="Endnote Text Char"/>
    <w:basedOn w:val="DefaultParagraphFont"/>
    <w:link w:val="EndnoteText"/>
    <w:uiPriority w:val="99"/>
    <w:semiHidden/>
    <w:rsid w:val="00373FAB"/>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373FAB"/>
    <w:rPr>
      <w:vertAlign w:val="superscript"/>
    </w:rPr>
  </w:style>
  <w:style w:type="table" w:customStyle="1" w:styleId="TableGrid21">
    <w:name w:val="Table Grid21"/>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73FAB"/>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1"/>
    <w:uiPriority w:val="99"/>
    <w:semiHidden/>
    <w:unhideWhenUsed/>
    <w:rsid w:val="00373FAB"/>
    <w:pPr>
      <w:spacing w:after="120"/>
      <w:ind w:left="283"/>
    </w:pPr>
  </w:style>
  <w:style w:type="character" w:customStyle="1" w:styleId="BodyTextIndentChar1">
    <w:name w:val="Body Text Indent Char1"/>
    <w:basedOn w:val="DefaultParagraphFont"/>
    <w:link w:val="BodyTextIndent"/>
    <w:uiPriority w:val="99"/>
    <w:semiHidden/>
    <w:rsid w:val="00373FAB"/>
    <w:rPr>
      <w:rFonts w:ascii="Times New Roman" w:eastAsia="Times New Roman" w:hAnsi="Times New Roman" w:cs="Times New Roman"/>
      <w:sz w:val="24"/>
      <w:szCs w:val="24"/>
      <w:lang w:val="en-US"/>
    </w:rPr>
  </w:style>
  <w:style w:type="table" w:customStyle="1" w:styleId="TableGrid32">
    <w:name w:val="Table Grid32"/>
    <w:basedOn w:val="TableNormal"/>
    <w:next w:val="TableGrid"/>
    <w:rsid w:val="0049269C"/>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49269C"/>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602A6-918F-496B-85D3-C1BBFA86B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6271</Words>
  <Characters>3575</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Inese Mazlazdiņa</cp:lastModifiedBy>
  <cp:revision>4</cp:revision>
  <cp:lastPrinted>2018-02-08T07:56:00Z</cp:lastPrinted>
  <dcterms:created xsi:type="dcterms:W3CDTF">2018-10-19T07:08:00Z</dcterms:created>
  <dcterms:modified xsi:type="dcterms:W3CDTF">2018-10-19T07:31:00Z</dcterms:modified>
</cp:coreProperties>
</file>