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3E7" w:rsidRPr="005203E7" w:rsidRDefault="005203E7" w:rsidP="005203E7">
      <w:pPr>
        <w:tabs>
          <w:tab w:val="left" w:pos="993"/>
        </w:tabs>
        <w:spacing w:after="0"/>
        <w:ind w:left="426" w:right="84" w:firstLine="0"/>
        <w:jc w:val="center"/>
        <w:rPr>
          <w:rFonts w:eastAsia="Times New Roman" w:cs="Times New Roman"/>
          <w:sz w:val="24"/>
          <w:szCs w:val="24"/>
          <w:lang w:eastAsia="lv-LV"/>
        </w:rPr>
      </w:pPr>
      <w:r w:rsidRPr="005203E7">
        <w:rPr>
          <w:rFonts w:eastAsia="Times New Roman" w:cs="Times New Roman"/>
          <w:sz w:val="24"/>
          <w:szCs w:val="24"/>
          <w:lang w:eastAsia="lv-LV"/>
        </w:rPr>
        <w:t>Eiropas Sociālā fonda projekta Nr.</w:t>
      </w:r>
      <w:r w:rsidRPr="005203E7">
        <w:rPr>
          <w:color w:val="000000"/>
          <w:sz w:val="24"/>
          <w:szCs w:val="24"/>
        </w:rPr>
        <w:t xml:space="preserve"> 9.1.3.0/16/I/001</w:t>
      </w:r>
    </w:p>
    <w:p w:rsidR="005203E7" w:rsidRPr="005203E7" w:rsidRDefault="005203E7" w:rsidP="005203E7">
      <w:pPr>
        <w:tabs>
          <w:tab w:val="left" w:pos="993"/>
        </w:tabs>
        <w:spacing w:after="0"/>
        <w:ind w:left="426" w:right="84" w:firstLine="0"/>
        <w:jc w:val="center"/>
        <w:rPr>
          <w:rFonts w:eastAsia="Times New Roman" w:cs="Times New Roman"/>
          <w:sz w:val="24"/>
          <w:szCs w:val="24"/>
          <w:lang w:eastAsia="lv-LV"/>
        </w:rPr>
      </w:pPr>
      <w:r w:rsidRPr="005203E7">
        <w:rPr>
          <w:rFonts w:eastAsia="Times New Roman" w:cs="Times New Roman"/>
          <w:sz w:val="24"/>
          <w:szCs w:val="24"/>
          <w:lang w:eastAsia="lv-LV"/>
        </w:rPr>
        <w:t>"</w:t>
      </w:r>
      <w:proofErr w:type="spellStart"/>
      <w:r w:rsidRPr="005203E7">
        <w:rPr>
          <w:color w:val="000000"/>
          <w:sz w:val="24"/>
          <w:szCs w:val="24"/>
        </w:rPr>
        <w:t>Resocializācijas</w:t>
      </w:r>
      <w:proofErr w:type="spellEnd"/>
      <w:r w:rsidRPr="005203E7">
        <w:rPr>
          <w:color w:val="000000"/>
          <w:sz w:val="24"/>
          <w:szCs w:val="24"/>
        </w:rPr>
        <w:t xml:space="preserve"> sistēmas efektivitātes paaugstināšana</w:t>
      </w:r>
      <w:r w:rsidRPr="005203E7">
        <w:rPr>
          <w:rFonts w:eastAsia="Times New Roman" w:cs="Times New Roman"/>
          <w:sz w:val="24"/>
          <w:szCs w:val="24"/>
          <w:lang w:eastAsia="lv-LV"/>
        </w:rPr>
        <w:t>"</w:t>
      </w:r>
    </w:p>
    <w:p w:rsidR="005203E7" w:rsidRPr="005203E7" w:rsidRDefault="005203E7" w:rsidP="005203E7">
      <w:pPr>
        <w:tabs>
          <w:tab w:val="left" w:pos="993"/>
        </w:tabs>
        <w:spacing w:after="0"/>
        <w:ind w:left="426" w:right="84" w:firstLine="0"/>
        <w:jc w:val="center"/>
        <w:rPr>
          <w:rFonts w:eastAsia="Times New Roman" w:cs="Times New Roman"/>
          <w:bCs/>
          <w:sz w:val="24"/>
          <w:szCs w:val="24"/>
          <w:lang w:eastAsia="lv-LV"/>
        </w:rPr>
      </w:pPr>
      <w:r w:rsidRPr="005203E7">
        <w:rPr>
          <w:rFonts w:eastAsia="Times New Roman" w:cs="Times New Roman"/>
          <w:bCs/>
          <w:sz w:val="24"/>
          <w:szCs w:val="24"/>
          <w:lang w:eastAsia="lv-LV"/>
        </w:rPr>
        <w:t xml:space="preserve">ietvaros </w:t>
      </w:r>
    </w:p>
    <w:p w:rsidR="005203E7" w:rsidRPr="005203E7" w:rsidRDefault="005203E7" w:rsidP="005203E7">
      <w:pPr>
        <w:tabs>
          <w:tab w:val="left" w:pos="993"/>
        </w:tabs>
        <w:spacing w:after="0"/>
        <w:ind w:left="426" w:right="84" w:firstLine="0"/>
        <w:jc w:val="center"/>
        <w:rPr>
          <w:rFonts w:eastAsia="Times New Roman" w:cs="Times New Roman"/>
          <w:bCs/>
          <w:sz w:val="24"/>
          <w:szCs w:val="24"/>
          <w:lang w:eastAsia="lv-LV"/>
        </w:rPr>
      </w:pPr>
      <w:r w:rsidRPr="005203E7">
        <w:rPr>
          <w:rFonts w:eastAsia="Times New Roman" w:cs="Times New Roman"/>
          <w:bCs/>
          <w:sz w:val="24"/>
          <w:szCs w:val="24"/>
          <w:lang w:eastAsia="lv-LV"/>
        </w:rPr>
        <w:t>Ieslodzījuma vietu pārvaldes</w:t>
      </w:r>
    </w:p>
    <w:p w:rsidR="005203E7" w:rsidRPr="005203E7" w:rsidRDefault="005203E7" w:rsidP="005203E7">
      <w:pPr>
        <w:spacing w:after="0"/>
        <w:ind w:right="-17" w:firstLine="567"/>
        <w:jc w:val="center"/>
        <w:rPr>
          <w:rFonts w:eastAsia="Times New Roman" w:cs="Times New Roman"/>
          <w:b/>
          <w:sz w:val="24"/>
          <w:szCs w:val="24"/>
          <w:lang w:eastAsia="lv-LV"/>
        </w:rPr>
      </w:pPr>
    </w:p>
    <w:p w:rsidR="005203E7" w:rsidRPr="005203E7" w:rsidRDefault="005203E7" w:rsidP="005203E7">
      <w:pPr>
        <w:spacing w:after="0"/>
        <w:ind w:right="-17" w:firstLine="567"/>
        <w:jc w:val="center"/>
        <w:rPr>
          <w:rFonts w:eastAsia="Times New Roman" w:cs="Times New Roman"/>
          <w:color w:val="000000"/>
          <w:sz w:val="24"/>
          <w:szCs w:val="24"/>
          <w:lang w:eastAsia="lv-LV"/>
        </w:rPr>
      </w:pPr>
      <w:r w:rsidRPr="005203E7">
        <w:rPr>
          <w:rFonts w:eastAsia="Times New Roman" w:cs="Times New Roman"/>
          <w:color w:val="000000"/>
          <w:sz w:val="24"/>
          <w:szCs w:val="24"/>
          <w:lang w:eastAsia="lv-LV"/>
        </w:rPr>
        <w:t>iepirkuma (atklāta procedūra)</w:t>
      </w:r>
    </w:p>
    <w:p w:rsidR="005203E7" w:rsidRPr="005203E7" w:rsidRDefault="005203E7" w:rsidP="005203E7">
      <w:pPr>
        <w:spacing w:after="0"/>
        <w:ind w:right="-17" w:firstLine="567"/>
        <w:jc w:val="center"/>
        <w:rPr>
          <w:rFonts w:eastAsia="Times New Roman" w:cs="Times New Roman"/>
          <w:color w:val="000000"/>
          <w:sz w:val="24"/>
          <w:szCs w:val="24"/>
          <w:lang w:eastAsia="lv-LV"/>
        </w:rPr>
      </w:pPr>
      <w:r w:rsidRPr="005203E7">
        <w:rPr>
          <w:rFonts w:eastAsia="Times New Roman" w:cs="Times New Roman"/>
          <w:color w:val="000000"/>
          <w:sz w:val="24"/>
          <w:szCs w:val="24"/>
          <w:lang w:eastAsia="lv-LV"/>
        </w:rPr>
        <w:t>(saskaņā ar Publisko iepirkumu likuma 10.panta pirmo daļu)</w:t>
      </w:r>
    </w:p>
    <w:p w:rsidR="005203E7" w:rsidRPr="005203E7" w:rsidRDefault="005203E7" w:rsidP="005203E7">
      <w:pPr>
        <w:spacing w:after="0"/>
        <w:ind w:right="-17" w:firstLine="567"/>
        <w:jc w:val="center"/>
        <w:rPr>
          <w:rFonts w:eastAsia="Times New Roman" w:cs="Times New Roman"/>
          <w:b/>
          <w:sz w:val="24"/>
          <w:szCs w:val="24"/>
          <w:lang w:eastAsia="lv-LV"/>
        </w:rPr>
      </w:pPr>
    </w:p>
    <w:p w:rsidR="005203E7" w:rsidRPr="005203E7" w:rsidRDefault="005203E7" w:rsidP="005203E7">
      <w:pPr>
        <w:spacing w:after="0"/>
        <w:ind w:right="-17" w:firstLine="567"/>
        <w:jc w:val="center"/>
        <w:rPr>
          <w:rFonts w:eastAsia="Times New Roman" w:cs="Times New Roman"/>
          <w:b/>
          <w:sz w:val="24"/>
          <w:szCs w:val="24"/>
          <w:lang w:eastAsia="lv-LV"/>
        </w:rPr>
      </w:pPr>
      <w:r w:rsidRPr="005203E7">
        <w:rPr>
          <w:rFonts w:eastAsia="Times New Roman" w:cs="Times New Roman"/>
          <w:sz w:val="24"/>
          <w:szCs w:val="24"/>
          <w:lang w:eastAsia="lv-LV"/>
        </w:rPr>
        <w:t>"</w:t>
      </w:r>
      <w:r w:rsidRPr="005203E7">
        <w:rPr>
          <w:rFonts w:eastAsia="Calibri"/>
          <w:sz w:val="24"/>
          <w:szCs w:val="24"/>
        </w:rPr>
        <w:t>Konsultācijas profesionālajā pilnveidē (</w:t>
      </w:r>
      <w:proofErr w:type="spellStart"/>
      <w:r w:rsidRPr="005203E7">
        <w:rPr>
          <w:rFonts w:eastAsia="Calibri"/>
          <w:sz w:val="24"/>
          <w:szCs w:val="24"/>
        </w:rPr>
        <w:t>supervīzijas</w:t>
      </w:r>
      <w:proofErr w:type="spellEnd"/>
      <w:r w:rsidRPr="005203E7">
        <w:rPr>
          <w:rFonts w:eastAsia="Calibri"/>
          <w:sz w:val="24"/>
          <w:szCs w:val="24"/>
        </w:rPr>
        <w:t>)</w:t>
      </w:r>
      <w:r w:rsidRPr="005203E7">
        <w:rPr>
          <w:rFonts w:eastAsia="Times New Roman" w:cs="Times New Roman"/>
          <w:sz w:val="24"/>
          <w:szCs w:val="24"/>
          <w:lang w:eastAsia="lv-LV"/>
        </w:rPr>
        <w:t>"</w:t>
      </w:r>
    </w:p>
    <w:p w:rsidR="00836EFC" w:rsidRDefault="005203E7" w:rsidP="002F1B91">
      <w:pPr>
        <w:jc w:val="center"/>
        <w:rPr>
          <w:rFonts w:eastAsia="Times New Roman" w:cs="Times New Roman"/>
          <w:sz w:val="24"/>
          <w:szCs w:val="24"/>
          <w:lang w:eastAsia="lv-LV"/>
        </w:rPr>
      </w:pPr>
      <w:r w:rsidRPr="005203E7">
        <w:rPr>
          <w:rFonts w:eastAsia="Times New Roman" w:cs="Times New Roman"/>
          <w:sz w:val="24"/>
          <w:szCs w:val="24"/>
          <w:lang w:eastAsia="lv-LV"/>
        </w:rPr>
        <w:t xml:space="preserve">(iepirkuma identifikācijas numurs </w:t>
      </w:r>
      <w:proofErr w:type="spellStart"/>
      <w:r w:rsidRPr="005203E7">
        <w:rPr>
          <w:rFonts w:eastAsia="Times New Roman" w:cs="Times New Roman"/>
          <w:sz w:val="24"/>
          <w:szCs w:val="24"/>
          <w:lang w:eastAsia="lv-LV"/>
        </w:rPr>
        <w:t>IeVP</w:t>
      </w:r>
      <w:proofErr w:type="spellEnd"/>
      <w:r w:rsidRPr="005203E7">
        <w:rPr>
          <w:rFonts w:eastAsia="Times New Roman" w:cs="Times New Roman"/>
          <w:sz w:val="24"/>
          <w:szCs w:val="24"/>
          <w:lang w:eastAsia="lv-LV"/>
        </w:rPr>
        <w:t> 2018/1/ESF)</w:t>
      </w:r>
    </w:p>
    <w:p w:rsidR="00AF4705" w:rsidRDefault="00AF4705" w:rsidP="002F1B91">
      <w:pPr>
        <w:jc w:val="center"/>
        <w:rPr>
          <w:rFonts w:eastAsia="Times New Roman" w:cs="Times New Roman"/>
          <w:sz w:val="24"/>
          <w:szCs w:val="24"/>
          <w:lang w:eastAsia="lv-LV"/>
        </w:rPr>
      </w:pPr>
    </w:p>
    <w:p w:rsidR="002F1B91" w:rsidRPr="005203E7" w:rsidRDefault="002F1B91" w:rsidP="002F1B91">
      <w:pPr>
        <w:jc w:val="center"/>
        <w:rPr>
          <w:rFonts w:cs="Times New Roman"/>
          <w:sz w:val="24"/>
          <w:szCs w:val="24"/>
        </w:rPr>
      </w:pPr>
      <w:bookmarkStart w:id="0" w:name="_GoBack"/>
      <w:bookmarkEnd w:id="0"/>
      <w:r>
        <w:rPr>
          <w:rFonts w:eastAsia="Times New Roman" w:cs="Times New Roman"/>
          <w:sz w:val="24"/>
          <w:szCs w:val="24"/>
          <w:lang w:eastAsia="lv-LV"/>
        </w:rPr>
        <w:t>Atbildes uz jautājumiem.</w:t>
      </w:r>
    </w:p>
    <w:p w:rsidR="00836EFC" w:rsidRPr="002F1B91" w:rsidRDefault="00836EFC" w:rsidP="002F1B91">
      <w:pPr>
        <w:ind w:firstLine="709"/>
        <w:rPr>
          <w:rFonts w:cs="Times New Roman"/>
          <w:sz w:val="24"/>
          <w:szCs w:val="24"/>
          <w:u w:val="single"/>
        </w:rPr>
      </w:pPr>
      <w:r w:rsidRPr="002F1B91">
        <w:rPr>
          <w:rFonts w:cs="Times New Roman"/>
          <w:sz w:val="24"/>
          <w:szCs w:val="24"/>
          <w:u w:val="single"/>
        </w:rPr>
        <w:t>Jautājumi:</w:t>
      </w:r>
    </w:p>
    <w:p w:rsidR="002F1B91" w:rsidRPr="002F1B91" w:rsidRDefault="00836EFC" w:rsidP="002F1B91">
      <w:pPr>
        <w:pStyle w:val="ListParagraph"/>
        <w:numPr>
          <w:ilvl w:val="0"/>
          <w:numId w:val="2"/>
        </w:numPr>
        <w:tabs>
          <w:tab w:val="left" w:pos="993"/>
        </w:tabs>
        <w:ind w:left="0" w:firstLine="709"/>
        <w:rPr>
          <w:rFonts w:ascii="Times New Roman" w:hAnsi="Times New Roman" w:cs="Times New Roman"/>
          <w:sz w:val="24"/>
          <w:szCs w:val="24"/>
        </w:rPr>
      </w:pPr>
      <w:r w:rsidRPr="002F1B91">
        <w:rPr>
          <w:rFonts w:ascii="Times New Roman" w:hAnsi="Times New Roman" w:cs="Times New Roman"/>
          <w:sz w:val="24"/>
          <w:szCs w:val="24"/>
        </w:rPr>
        <w:t>Vai es pareizi saprotu, ka man jānodod divi dokumentu kopumi - viens oriģināls un pilna tā kopija papīra formātā, kā arī tā elektroniskā versija?</w:t>
      </w:r>
    </w:p>
    <w:p w:rsidR="002F1B91" w:rsidRPr="002F1B91" w:rsidRDefault="00836EFC" w:rsidP="002F1B91">
      <w:pPr>
        <w:pStyle w:val="ListParagraph"/>
        <w:numPr>
          <w:ilvl w:val="0"/>
          <w:numId w:val="2"/>
        </w:numPr>
        <w:tabs>
          <w:tab w:val="left" w:pos="993"/>
        </w:tabs>
        <w:ind w:left="0" w:firstLine="709"/>
        <w:rPr>
          <w:rFonts w:ascii="Times New Roman" w:hAnsi="Times New Roman" w:cs="Times New Roman"/>
          <w:sz w:val="24"/>
          <w:szCs w:val="24"/>
          <w:lang w:val="en-AU"/>
        </w:rPr>
      </w:pPr>
      <w:r w:rsidRPr="002F1B91">
        <w:rPr>
          <w:rFonts w:ascii="Times New Roman" w:hAnsi="Times New Roman" w:cs="Times New Roman"/>
          <w:sz w:val="24"/>
          <w:szCs w:val="24"/>
        </w:rPr>
        <w:t>Vai man ir nepieciešams aizpildīt dokumentu “Standarta veidlapa Eiropas vienotajam iepirkuma procedūras dokumentam (ESPD)” arī šajā iepirkumā?</w:t>
      </w:r>
    </w:p>
    <w:p w:rsidR="00836EFC" w:rsidRPr="002F1B91" w:rsidRDefault="00836EFC" w:rsidP="002F1B91">
      <w:pPr>
        <w:pStyle w:val="ListParagraph"/>
        <w:numPr>
          <w:ilvl w:val="0"/>
          <w:numId w:val="2"/>
        </w:numPr>
        <w:tabs>
          <w:tab w:val="left" w:pos="993"/>
        </w:tabs>
        <w:ind w:left="0" w:firstLine="709"/>
        <w:rPr>
          <w:rFonts w:ascii="Times New Roman" w:hAnsi="Times New Roman" w:cs="Times New Roman"/>
          <w:sz w:val="24"/>
          <w:szCs w:val="24"/>
          <w:lang w:val="en-AU"/>
        </w:rPr>
      </w:pPr>
      <w:r w:rsidRPr="002F1B91">
        <w:rPr>
          <w:rFonts w:ascii="Times New Roman" w:hAnsi="Times New Roman" w:cs="Times New Roman"/>
          <w:sz w:val="24"/>
          <w:szCs w:val="24"/>
        </w:rPr>
        <w:t>Vai es pareizi saprotu, ka punkts 2.1.5. nav attiecināms uz fiziskām (</w:t>
      </w:r>
      <w:proofErr w:type="spellStart"/>
      <w:r w:rsidRPr="002F1B91">
        <w:rPr>
          <w:rFonts w:ascii="Times New Roman" w:hAnsi="Times New Roman" w:cs="Times New Roman"/>
          <w:sz w:val="24"/>
          <w:szCs w:val="24"/>
        </w:rPr>
        <w:t>pašnodarbinātām</w:t>
      </w:r>
      <w:proofErr w:type="spellEnd"/>
      <w:r w:rsidRPr="002F1B91">
        <w:rPr>
          <w:rFonts w:ascii="Times New Roman" w:hAnsi="Times New Roman" w:cs="Times New Roman"/>
          <w:sz w:val="24"/>
          <w:szCs w:val="24"/>
        </w:rPr>
        <w:t xml:space="preserve">) personām, kuras  piedalās šajā Ieslodzījuma vietu pārvaldes iepirkumā? </w:t>
      </w:r>
      <w:proofErr w:type="spellStart"/>
      <w:r w:rsidRPr="002F1B91">
        <w:rPr>
          <w:rFonts w:ascii="Times New Roman" w:hAnsi="Times New Roman" w:cs="Times New Roman"/>
          <w:sz w:val="24"/>
          <w:szCs w:val="24"/>
          <w:lang w:val="en-AU"/>
        </w:rPr>
        <w:t>Ja</w:t>
      </w:r>
      <w:proofErr w:type="spellEnd"/>
      <w:r w:rsidRPr="002F1B91">
        <w:rPr>
          <w:rFonts w:ascii="Times New Roman" w:hAnsi="Times New Roman" w:cs="Times New Roman"/>
          <w:sz w:val="24"/>
          <w:szCs w:val="24"/>
          <w:lang w:val="en-AU"/>
        </w:rPr>
        <w:t xml:space="preserve"> </w:t>
      </w:r>
      <w:proofErr w:type="spellStart"/>
      <w:r w:rsidRPr="002F1B91">
        <w:rPr>
          <w:rFonts w:ascii="Times New Roman" w:hAnsi="Times New Roman" w:cs="Times New Roman"/>
          <w:sz w:val="24"/>
          <w:szCs w:val="24"/>
          <w:lang w:val="en-AU"/>
        </w:rPr>
        <w:t>ir</w:t>
      </w:r>
      <w:proofErr w:type="spellEnd"/>
      <w:r w:rsidRPr="002F1B91">
        <w:rPr>
          <w:rFonts w:ascii="Times New Roman" w:hAnsi="Times New Roman" w:cs="Times New Roman"/>
          <w:sz w:val="24"/>
          <w:szCs w:val="24"/>
          <w:lang w:val="en-AU"/>
        </w:rPr>
        <w:t xml:space="preserve"> </w:t>
      </w:r>
      <w:proofErr w:type="spellStart"/>
      <w:r w:rsidRPr="002F1B91">
        <w:rPr>
          <w:rFonts w:ascii="Times New Roman" w:hAnsi="Times New Roman" w:cs="Times New Roman"/>
          <w:sz w:val="24"/>
          <w:szCs w:val="24"/>
          <w:lang w:val="en-AU"/>
        </w:rPr>
        <w:t>attiecināms</w:t>
      </w:r>
      <w:proofErr w:type="spellEnd"/>
      <w:r w:rsidRPr="002F1B91">
        <w:rPr>
          <w:rFonts w:ascii="Times New Roman" w:hAnsi="Times New Roman" w:cs="Times New Roman"/>
          <w:sz w:val="24"/>
          <w:szCs w:val="24"/>
          <w:lang w:val="en-AU"/>
        </w:rPr>
        <w:t xml:space="preserve">, </w:t>
      </w:r>
      <w:proofErr w:type="spellStart"/>
      <w:r w:rsidRPr="002F1B91">
        <w:rPr>
          <w:rFonts w:ascii="Times New Roman" w:hAnsi="Times New Roman" w:cs="Times New Roman"/>
          <w:sz w:val="24"/>
          <w:szCs w:val="24"/>
          <w:lang w:val="en-AU"/>
        </w:rPr>
        <w:t>lūdzu</w:t>
      </w:r>
      <w:proofErr w:type="spellEnd"/>
      <w:r w:rsidRPr="002F1B91">
        <w:rPr>
          <w:rFonts w:ascii="Times New Roman" w:hAnsi="Times New Roman" w:cs="Times New Roman"/>
          <w:sz w:val="24"/>
          <w:szCs w:val="24"/>
          <w:lang w:val="en-AU"/>
        </w:rPr>
        <w:t xml:space="preserve"> </w:t>
      </w:r>
      <w:proofErr w:type="spellStart"/>
      <w:r w:rsidRPr="002F1B91">
        <w:rPr>
          <w:rFonts w:ascii="Times New Roman" w:hAnsi="Times New Roman" w:cs="Times New Roman"/>
          <w:sz w:val="24"/>
          <w:szCs w:val="24"/>
          <w:lang w:val="en-AU"/>
        </w:rPr>
        <w:t>izskaidrot</w:t>
      </w:r>
      <w:proofErr w:type="spellEnd"/>
      <w:r w:rsidRPr="002F1B91">
        <w:rPr>
          <w:rFonts w:ascii="Times New Roman" w:hAnsi="Times New Roman" w:cs="Times New Roman"/>
          <w:sz w:val="24"/>
          <w:szCs w:val="24"/>
          <w:lang w:val="en-AU"/>
        </w:rPr>
        <w:t xml:space="preserve"> </w:t>
      </w:r>
      <w:proofErr w:type="spellStart"/>
      <w:r w:rsidRPr="002F1B91">
        <w:rPr>
          <w:rFonts w:ascii="Times New Roman" w:hAnsi="Times New Roman" w:cs="Times New Roman"/>
          <w:sz w:val="24"/>
          <w:szCs w:val="24"/>
          <w:lang w:val="en-AU"/>
        </w:rPr>
        <w:t>punkta</w:t>
      </w:r>
      <w:proofErr w:type="spellEnd"/>
      <w:r w:rsidRPr="002F1B91">
        <w:rPr>
          <w:rFonts w:ascii="Times New Roman" w:hAnsi="Times New Roman" w:cs="Times New Roman"/>
          <w:sz w:val="24"/>
          <w:szCs w:val="24"/>
          <w:lang w:val="en-AU"/>
        </w:rPr>
        <w:t xml:space="preserve"> 2.1.5. </w:t>
      </w:r>
      <w:proofErr w:type="spellStart"/>
      <w:r w:rsidRPr="002F1B91">
        <w:rPr>
          <w:rFonts w:ascii="Times New Roman" w:hAnsi="Times New Roman" w:cs="Times New Roman"/>
          <w:sz w:val="24"/>
          <w:szCs w:val="24"/>
          <w:lang w:val="en-AU"/>
        </w:rPr>
        <w:t>būtību</w:t>
      </w:r>
      <w:proofErr w:type="spellEnd"/>
      <w:r w:rsidRPr="002F1B91">
        <w:rPr>
          <w:rFonts w:ascii="Times New Roman" w:hAnsi="Times New Roman" w:cs="Times New Roman"/>
          <w:sz w:val="24"/>
          <w:szCs w:val="24"/>
          <w:lang w:val="en-AU"/>
        </w:rPr>
        <w:t>.</w:t>
      </w:r>
    </w:p>
    <w:p w:rsidR="00836EFC" w:rsidRPr="002F1B91" w:rsidRDefault="00836EFC" w:rsidP="002F1B91">
      <w:pPr>
        <w:ind w:firstLine="709"/>
        <w:rPr>
          <w:rFonts w:cs="Times New Roman"/>
          <w:sz w:val="24"/>
          <w:szCs w:val="24"/>
          <w:lang w:val="en-AU"/>
        </w:rPr>
      </w:pPr>
    </w:p>
    <w:p w:rsidR="00836EFC" w:rsidRPr="005203E7" w:rsidRDefault="00836EFC" w:rsidP="00836EFC">
      <w:pPr>
        <w:rPr>
          <w:rFonts w:cs="Times New Roman"/>
          <w:sz w:val="24"/>
          <w:szCs w:val="24"/>
          <w:u w:val="single"/>
        </w:rPr>
      </w:pPr>
      <w:r w:rsidRPr="005203E7">
        <w:rPr>
          <w:rFonts w:cs="Times New Roman"/>
          <w:sz w:val="24"/>
          <w:szCs w:val="24"/>
          <w:u w:val="single"/>
        </w:rPr>
        <w:t>Atbildes:</w:t>
      </w:r>
    </w:p>
    <w:p w:rsidR="00836EFC" w:rsidRPr="005203E7" w:rsidRDefault="00836EFC" w:rsidP="002F1B91">
      <w:pPr>
        <w:pStyle w:val="ListParagraph"/>
        <w:numPr>
          <w:ilvl w:val="0"/>
          <w:numId w:val="1"/>
        </w:numPr>
        <w:tabs>
          <w:tab w:val="left" w:pos="1134"/>
        </w:tabs>
        <w:ind w:left="0" w:firstLine="851"/>
        <w:rPr>
          <w:rFonts w:ascii="Times New Roman" w:hAnsi="Times New Roman" w:cs="Times New Roman"/>
          <w:sz w:val="24"/>
          <w:szCs w:val="24"/>
        </w:rPr>
      </w:pPr>
      <w:r w:rsidRPr="005203E7">
        <w:rPr>
          <w:rFonts w:ascii="Times New Roman" w:hAnsi="Times New Roman" w:cs="Times New Roman"/>
          <w:sz w:val="24"/>
          <w:szCs w:val="24"/>
        </w:rPr>
        <w:t>Jā, Jūs pareizi saprotat, piedāvājums ir jāiesniedz kā divi dokumentu kopumi - viens oriģināls un pilna tā kopija papīra formātā, kā arī tā elektroniskā versija;</w:t>
      </w:r>
    </w:p>
    <w:p w:rsidR="00836EFC" w:rsidRPr="005203E7" w:rsidRDefault="00836EFC" w:rsidP="002F1B91">
      <w:pPr>
        <w:pStyle w:val="ListParagraph"/>
        <w:numPr>
          <w:ilvl w:val="0"/>
          <w:numId w:val="1"/>
        </w:numPr>
        <w:tabs>
          <w:tab w:val="left" w:pos="1134"/>
        </w:tabs>
        <w:ind w:left="0" w:firstLine="851"/>
        <w:rPr>
          <w:rFonts w:ascii="Times New Roman" w:hAnsi="Times New Roman" w:cs="Times New Roman"/>
          <w:sz w:val="24"/>
          <w:szCs w:val="24"/>
        </w:rPr>
      </w:pPr>
      <w:r w:rsidRPr="005203E7">
        <w:rPr>
          <w:rFonts w:ascii="Times New Roman" w:hAnsi="Times New Roman" w:cs="Times New Roman"/>
          <w:sz w:val="24"/>
          <w:szCs w:val="24"/>
        </w:rPr>
        <w:t>Nē, Jums šajā iepirkumā nav nepieciešams aizpildīt dokumentu “Standarta veidlapa Eiropas vienotajam iepirkuma procedūras dokumentam (ESPD)”;</w:t>
      </w:r>
    </w:p>
    <w:p w:rsidR="00836EFC" w:rsidRPr="005203E7" w:rsidRDefault="00836EFC" w:rsidP="002F1B91">
      <w:pPr>
        <w:pStyle w:val="ListParagraph"/>
        <w:numPr>
          <w:ilvl w:val="0"/>
          <w:numId w:val="1"/>
        </w:numPr>
        <w:tabs>
          <w:tab w:val="left" w:pos="1134"/>
        </w:tabs>
        <w:ind w:left="0" w:firstLine="851"/>
        <w:rPr>
          <w:rFonts w:ascii="Times New Roman" w:hAnsi="Times New Roman" w:cs="Times New Roman"/>
          <w:sz w:val="24"/>
          <w:szCs w:val="24"/>
        </w:rPr>
      </w:pPr>
      <w:r w:rsidRPr="005203E7">
        <w:rPr>
          <w:rFonts w:ascii="Times New Roman" w:hAnsi="Times New Roman" w:cs="Times New Roman"/>
          <w:sz w:val="24"/>
          <w:szCs w:val="24"/>
        </w:rPr>
        <w:t>Nolikuma 2.1.5.punkts ir attiecināms arī uz fiziskām (</w:t>
      </w:r>
      <w:proofErr w:type="spellStart"/>
      <w:r w:rsidRPr="005203E7">
        <w:rPr>
          <w:rFonts w:ascii="Times New Roman" w:hAnsi="Times New Roman" w:cs="Times New Roman"/>
          <w:sz w:val="24"/>
          <w:szCs w:val="24"/>
        </w:rPr>
        <w:t>pašnodarbinātām</w:t>
      </w:r>
      <w:proofErr w:type="spellEnd"/>
      <w:r w:rsidRPr="005203E7">
        <w:rPr>
          <w:rFonts w:ascii="Times New Roman" w:hAnsi="Times New Roman" w:cs="Times New Roman"/>
          <w:sz w:val="24"/>
          <w:szCs w:val="24"/>
        </w:rPr>
        <w:t>) personām, kuras  piedalās šajā Ieslodzījuma vietu pārvaldes iepirkumā. Saskaņā ar Nolikuma 2.1.5.punktu:</w:t>
      </w:r>
    </w:p>
    <w:p w:rsidR="00AF4705" w:rsidRDefault="00AF4705" w:rsidP="00836EFC">
      <w:pPr>
        <w:rPr>
          <w:rFonts w:cs="Times New Roman"/>
          <w:iCs/>
          <w:color w:val="181818"/>
          <w:sz w:val="24"/>
          <w:szCs w:val="24"/>
        </w:rPr>
      </w:pPr>
      <w:bookmarkStart w:id="1" w:name="_Toc492973164"/>
      <w:bookmarkStart w:id="2" w:name="_Toc493832093"/>
      <w:bookmarkStart w:id="3" w:name="_Toc497925060"/>
      <w:bookmarkStart w:id="4" w:name="_Toc497996635"/>
      <w:bookmarkStart w:id="5" w:name="_Toc497998694"/>
    </w:p>
    <w:p w:rsidR="00836EFC" w:rsidRPr="005203E7" w:rsidRDefault="00836EFC" w:rsidP="00836EFC">
      <w:pPr>
        <w:rPr>
          <w:rFonts w:cs="Times New Roman"/>
          <w:sz w:val="24"/>
          <w:szCs w:val="24"/>
        </w:rPr>
      </w:pPr>
      <w:r w:rsidRPr="005203E7">
        <w:rPr>
          <w:rFonts w:cs="Times New Roman"/>
          <w:iCs/>
          <w:color w:val="181818"/>
          <w:sz w:val="24"/>
          <w:szCs w:val="24"/>
        </w:rPr>
        <w:t>"</w:t>
      </w:r>
      <w:r w:rsidRPr="005203E7">
        <w:rPr>
          <w:rFonts w:cs="Times New Roman"/>
          <w:sz w:val="24"/>
          <w:szCs w:val="24"/>
          <w:lang w:eastAsia="lv-LV"/>
        </w:rPr>
        <w:t>2.1.5. Ja Pretendents savas kvalifikācijas apliecināšanai balstās uz citas personas iespējām</w:t>
      </w:r>
      <w:bookmarkEnd w:id="1"/>
      <w:r w:rsidRPr="005203E7">
        <w:rPr>
          <w:rFonts w:cs="Times New Roman"/>
          <w:sz w:val="24"/>
          <w:szCs w:val="24"/>
          <w:lang w:eastAsia="lv-LV"/>
        </w:rPr>
        <w:t>, Pretendents Pieteikumā (3.pielikums) norāda visas personas, uz kuru iespējām savas kvalifikācijas pierādīšanai tas balstās, un pierāda Pasūtītājam, ka viņa rīcībā būs nepieciešamie resursi, iesniedzot šo personu un Pretendenta parakstītu apliecinājumu vai vienošanos par sadarbību un resursu nodošanu Pretendenta rīcībā konkrētā līguma izpildei.</w:t>
      </w:r>
      <w:bookmarkEnd w:id="2"/>
      <w:bookmarkEnd w:id="3"/>
      <w:bookmarkEnd w:id="4"/>
      <w:bookmarkEnd w:id="5"/>
      <w:r w:rsidRPr="005203E7">
        <w:rPr>
          <w:rFonts w:cs="Times New Roman"/>
          <w:sz w:val="24"/>
          <w:szCs w:val="24"/>
        </w:rPr>
        <w:t>”</w:t>
      </w:r>
    </w:p>
    <w:p w:rsidR="00836EFC" w:rsidRPr="005203E7" w:rsidRDefault="00836EFC" w:rsidP="00836EFC">
      <w:pPr>
        <w:rPr>
          <w:rFonts w:eastAsia="Times New Roman" w:cs="Times New Roman"/>
          <w:noProof/>
          <w:sz w:val="24"/>
          <w:szCs w:val="24"/>
        </w:rPr>
      </w:pPr>
      <w:r w:rsidRPr="005203E7">
        <w:rPr>
          <w:rFonts w:eastAsia="Times New Roman" w:cs="Times New Roman"/>
          <w:noProof/>
          <w:sz w:val="24"/>
          <w:szCs w:val="24"/>
        </w:rPr>
        <w:t>Tas nozīmē, ja pretendentam, kurš vēlās iesniegt piedāvājumu attiecīgajā iepirkuma daļā, nav speciālista, kurš atbilst Nolikuma Kvalifikācijas prasībām (Nolikuma 2.1.2.punkts), tas šīs kvalifikācijas pierādīšanai var balstīties uz citu personu iespējām, iesniedzot, piemēram, ar šo personu noslēgtu līgumu vai vienošanās vai/un šās personas apliecinājumu atbilstoši Nolikuma 3.pielikumā norādītajam:</w:t>
      </w:r>
    </w:p>
    <w:p w:rsidR="00836EFC" w:rsidRPr="005203E7" w:rsidRDefault="00836EFC" w:rsidP="00836EFC">
      <w:pPr>
        <w:rPr>
          <w:rFonts w:eastAsia="Times New Roman" w:cs="Times New Roman"/>
          <w:bCs/>
          <w:iCs/>
          <w:sz w:val="24"/>
          <w:szCs w:val="24"/>
          <w:lang w:eastAsia="lv-LV"/>
        </w:rPr>
      </w:pPr>
      <w:r w:rsidRPr="005203E7">
        <w:rPr>
          <w:rFonts w:cs="Times New Roman"/>
          <w:iCs/>
          <w:color w:val="181818"/>
          <w:sz w:val="24"/>
          <w:szCs w:val="24"/>
        </w:rPr>
        <w:t>"</w:t>
      </w:r>
      <w:r w:rsidRPr="005203E7">
        <w:rPr>
          <w:rFonts w:eastAsia="Times New Roman" w:cs="Times New Roman"/>
          <w:bCs/>
          <w:iCs/>
          <w:sz w:val="24"/>
          <w:szCs w:val="24"/>
          <w:lang w:eastAsia="lv-LV"/>
        </w:rPr>
        <w:t>Pretendents savas kvalifikācijas apliecināšanai balstās uz citas personas iespējām: ____________________________ (jānorāda šo personu nosaukums vai vārds uzvārds un reģistrācijas numurs vai personas kods), kas nodod pretendenta rīcībā šādus resursus ________________________________.</w:t>
      </w:r>
    </w:p>
    <w:p w:rsidR="00836EFC" w:rsidRPr="005203E7" w:rsidRDefault="00836EFC" w:rsidP="00836EFC">
      <w:pPr>
        <w:rPr>
          <w:rFonts w:eastAsia="Times New Roman" w:cs="Times New Roman"/>
          <w:sz w:val="24"/>
          <w:szCs w:val="24"/>
          <w:lang w:eastAsia="lv-LV"/>
        </w:rPr>
      </w:pPr>
      <w:r w:rsidRPr="005203E7">
        <w:rPr>
          <w:rFonts w:eastAsia="Times New Roman" w:cs="Times New Roman"/>
          <w:sz w:val="24"/>
          <w:szCs w:val="24"/>
          <w:lang w:eastAsia="lv-LV"/>
        </w:rPr>
        <w:lastRenderedPageBreak/>
        <w:t>Pretendents un persona, uz kuras saimnieciskajām un finansiālajām iespējām tas balstās, ir solidāri atbildīgi par iepirkuma līguma izpildi. Šo apliecina ar savu parakstu arī personas, uz kuru iespējām Pretendents balstās.</w:t>
      </w:r>
      <w:r w:rsidRPr="005203E7">
        <w:rPr>
          <w:rFonts w:cs="Times New Roman"/>
          <w:iCs/>
          <w:color w:val="181818"/>
          <w:sz w:val="24"/>
          <w:szCs w:val="24"/>
        </w:rPr>
        <w:t xml:space="preserve"> "</w:t>
      </w:r>
    </w:p>
    <w:p w:rsidR="00836EFC" w:rsidRPr="005203E7" w:rsidRDefault="00836EFC" w:rsidP="00836EFC">
      <w:pPr>
        <w:rPr>
          <w:rFonts w:eastAsia="Times New Roman" w:cs="Times New Roman"/>
          <w:noProof/>
          <w:sz w:val="24"/>
          <w:szCs w:val="24"/>
        </w:rPr>
      </w:pPr>
      <w:r w:rsidRPr="005203E7">
        <w:rPr>
          <w:rFonts w:eastAsia="Times New Roman" w:cs="Times New Roman"/>
          <w:noProof/>
          <w:sz w:val="24"/>
          <w:szCs w:val="24"/>
        </w:rPr>
        <w:t>Saskaņā ar Publisko iepirkumu likuma 46.panta 4.daļu:</w:t>
      </w:r>
    </w:p>
    <w:p w:rsidR="00836EFC" w:rsidRPr="005203E7" w:rsidRDefault="00836EFC" w:rsidP="00836EFC">
      <w:pPr>
        <w:rPr>
          <w:rFonts w:cs="Times New Roman"/>
          <w:sz w:val="24"/>
          <w:szCs w:val="24"/>
        </w:rPr>
      </w:pPr>
      <w:r w:rsidRPr="005203E7">
        <w:rPr>
          <w:rFonts w:cs="Times New Roman"/>
          <w:iCs/>
          <w:color w:val="181818"/>
          <w:sz w:val="24"/>
          <w:szCs w:val="24"/>
        </w:rPr>
        <w:t>"</w:t>
      </w:r>
      <w:r w:rsidRPr="005203E7">
        <w:rPr>
          <w:rFonts w:cs="Times New Roman"/>
          <w:sz w:val="24"/>
          <w:szCs w:val="24"/>
        </w:rPr>
        <w:t xml:space="preserve"> (4) Piegādātājs var balstīties uz citu personu tehniskajām un profesionālajām iespējām, ja tas ir nepieciešams konkrētā iepirkuma līguma izpildei, neatkarīgi no savstarpējo attiecību tiesiskā rakstura. Šādā gadījumā piegādātājs pierāda pasūtītājam, ka tā rīcībā būs nepieciešamie resursi, iesniedzot šo personu apliecinājumu vai vienošanos par nepieciešamo resursu nodošanu piegādātāja rīcībā.</w:t>
      </w:r>
      <w:r w:rsidRPr="005203E7">
        <w:rPr>
          <w:rFonts w:cs="Times New Roman"/>
          <w:iCs/>
          <w:color w:val="181818"/>
          <w:sz w:val="24"/>
          <w:szCs w:val="24"/>
        </w:rPr>
        <w:t xml:space="preserve"> "</w:t>
      </w:r>
      <w:r w:rsidRPr="005203E7">
        <w:rPr>
          <w:rFonts w:cs="Times New Roman"/>
          <w:sz w:val="24"/>
          <w:szCs w:val="24"/>
        </w:rPr>
        <w:t> </w:t>
      </w:r>
    </w:p>
    <w:p w:rsidR="00836EFC" w:rsidRPr="005203E7" w:rsidRDefault="00836EFC">
      <w:pPr>
        <w:rPr>
          <w:rFonts w:cs="Times New Roman"/>
          <w:sz w:val="24"/>
          <w:szCs w:val="24"/>
        </w:rPr>
      </w:pPr>
    </w:p>
    <w:sectPr w:rsidR="00836EFC" w:rsidRPr="005203E7" w:rsidSect="00836EFC">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7648"/>
    <w:multiLevelType w:val="hybridMultilevel"/>
    <w:tmpl w:val="3462DD7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3F031054"/>
    <w:multiLevelType w:val="hybridMultilevel"/>
    <w:tmpl w:val="B1349F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EFC"/>
    <w:rsid w:val="002F1B91"/>
    <w:rsid w:val="003753FD"/>
    <w:rsid w:val="00430FAE"/>
    <w:rsid w:val="005203E7"/>
    <w:rsid w:val="00836EFC"/>
    <w:rsid w:val="00A8368C"/>
    <w:rsid w:val="00AF47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CE0AC"/>
  <w15:chartTrackingRefBased/>
  <w15:docId w15:val="{00F7789B-A614-4697-8AFC-2D6D0944D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EFC"/>
    <w:pPr>
      <w:spacing w:line="240" w:lineRule="auto"/>
      <w:ind w:firstLine="720"/>
      <w:jc w:val="both"/>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EFC"/>
    <w:pPr>
      <w:spacing w:after="0"/>
      <w:ind w:left="720" w:firstLine="0"/>
      <w:jc w:val="left"/>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82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2028</Words>
  <Characters>1156</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Asarina</dc:creator>
  <cp:keywords/>
  <dc:description/>
  <cp:lastModifiedBy>Una Asarina</cp:lastModifiedBy>
  <cp:revision>5</cp:revision>
  <dcterms:created xsi:type="dcterms:W3CDTF">2018-01-25T10:09:00Z</dcterms:created>
  <dcterms:modified xsi:type="dcterms:W3CDTF">2018-01-25T10:26:00Z</dcterms:modified>
</cp:coreProperties>
</file>