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FF" w:rsidRDefault="00B11C23" w:rsidP="00DE6DFF">
      <w:pPr>
        <w:spacing w:after="0" w:line="240" w:lineRule="auto"/>
        <w:jc w:val="center"/>
        <w:rPr>
          <w:rFonts w:ascii="Times New Roman" w:hAnsi="Times New Roman" w:cs="Times New Roman"/>
          <w:b/>
          <w:sz w:val="24"/>
          <w:szCs w:val="24"/>
        </w:rPr>
      </w:pPr>
      <w:r w:rsidRPr="000C7AA2">
        <w:rPr>
          <w:rFonts w:ascii="Times New Roman" w:hAnsi="Times New Roman" w:cs="Times New Roman"/>
          <w:b/>
          <w:sz w:val="24"/>
          <w:szCs w:val="24"/>
        </w:rPr>
        <w:t xml:space="preserve">Ministru kabineta noteikumu projekta </w:t>
      </w:r>
    </w:p>
    <w:p w:rsidR="00DA596D" w:rsidRDefault="00B11C23" w:rsidP="00DE6DFF">
      <w:pPr>
        <w:spacing w:after="0" w:line="240" w:lineRule="auto"/>
        <w:jc w:val="center"/>
        <w:rPr>
          <w:rFonts w:ascii="Times New Roman" w:hAnsi="Times New Roman" w:cs="Times New Roman"/>
          <w:b/>
          <w:bCs/>
          <w:sz w:val="24"/>
          <w:szCs w:val="24"/>
        </w:rPr>
      </w:pPr>
      <w:r w:rsidRPr="000C7AA2">
        <w:rPr>
          <w:rFonts w:ascii="Times New Roman" w:hAnsi="Times New Roman" w:cs="Times New Roman"/>
          <w:b/>
          <w:sz w:val="24"/>
          <w:szCs w:val="24"/>
        </w:rPr>
        <w:t>„</w:t>
      </w:r>
      <w:r w:rsidRPr="000C7AA2">
        <w:rPr>
          <w:rFonts w:ascii="Times New Roman" w:hAnsi="Times New Roman" w:cs="Times New Roman"/>
          <w:b/>
          <w:bCs/>
          <w:sz w:val="24"/>
          <w:szCs w:val="24"/>
        </w:rPr>
        <w:t>Noteikumi par apcietinātās vai notiesātās per</w:t>
      </w:r>
      <w:r w:rsidR="00DE6DFF">
        <w:rPr>
          <w:rFonts w:ascii="Times New Roman" w:hAnsi="Times New Roman" w:cs="Times New Roman"/>
          <w:b/>
          <w:bCs/>
          <w:sz w:val="24"/>
          <w:szCs w:val="24"/>
        </w:rPr>
        <w:t xml:space="preserve">sonas bērna apgādi ieslodzījuma </w:t>
      </w:r>
      <w:r w:rsidRPr="000C7AA2">
        <w:rPr>
          <w:rFonts w:ascii="Times New Roman" w:hAnsi="Times New Roman" w:cs="Times New Roman"/>
          <w:b/>
          <w:bCs/>
          <w:sz w:val="24"/>
          <w:szCs w:val="24"/>
        </w:rPr>
        <w:t>vietā”</w:t>
      </w:r>
      <w:r w:rsidRPr="000C7AA2">
        <w:rPr>
          <w:rFonts w:ascii="Times New Roman" w:hAnsi="Times New Roman" w:cs="Times New Roman"/>
          <w:b/>
          <w:sz w:val="24"/>
          <w:szCs w:val="24"/>
        </w:rPr>
        <w:t xml:space="preserve"> sākotnējās ietekmes novērtējuma </w:t>
      </w:r>
      <w:smartTag w:uri="schemas-tilde-lv/tildestengine" w:element="veidnes">
        <w:smartTagPr>
          <w:attr w:name="id" w:val="-1"/>
          <w:attr w:name="baseform" w:val="ziņojums"/>
          <w:attr w:name="text" w:val="ziņojums"/>
        </w:smartTagPr>
        <w:r w:rsidRPr="000C7AA2">
          <w:rPr>
            <w:rFonts w:ascii="Times New Roman" w:hAnsi="Times New Roman" w:cs="Times New Roman"/>
            <w:b/>
            <w:sz w:val="24"/>
            <w:szCs w:val="24"/>
          </w:rPr>
          <w:t>ziņojums</w:t>
        </w:r>
      </w:smartTag>
      <w:r w:rsidRPr="000C7AA2">
        <w:rPr>
          <w:rFonts w:ascii="Times New Roman" w:hAnsi="Times New Roman" w:cs="Times New Roman"/>
          <w:b/>
          <w:sz w:val="24"/>
          <w:szCs w:val="24"/>
        </w:rPr>
        <w:t xml:space="preserve"> (</w:t>
      </w:r>
      <w:r w:rsidRPr="000C7AA2">
        <w:rPr>
          <w:rFonts w:ascii="Times New Roman" w:hAnsi="Times New Roman" w:cs="Times New Roman"/>
          <w:b/>
          <w:bCs/>
          <w:sz w:val="24"/>
          <w:szCs w:val="24"/>
        </w:rPr>
        <w:t>anotācija)</w:t>
      </w:r>
    </w:p>
    <w:p w:rsidR="00DE6DFF" w:rsidRPr="000C7AA2" w:rsidRDefault="00DE6DFF" w:rsidP="00DE6DFF">
      <w:pPr>
        <w:spacing w:after="0" w:line="240" w:lineRule="auto"/>
        <w:jc w:val="center"/>
        <w:rPr>
          <w:rFonts w:ascii="Times New Roman" w:hAnsi="Times New Roman" w:cs="Times New Roman"/>
          <w:b/>
          <w:sz w:val="24"/>
          <w:szCs w:val="24"/>
        </w:rPr>
      </w:pPr>
    </w:p>
    <w:tbl>
      <w:tblPr>
        <w:tblW w:w="5200"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289"/>
        <w:gridCol w:w="15"/>
        <w:gridCol w:w="2781"/>
        <w:gridCol w:w="206"/>
        <w:gridCol w:w="6239"/>
      </w:tblGrid>
      <w:tr w:rsidR="004D15A9" w:rsidRPr="000C7AA2" w:rsidTr="00847E37">
        <w:trPr>
          <w:trHeight w:val="417"/>
        </w:trPr>
        <w:tc>
          <w:tcPr>
            <w:tcW w:w="5000" w:type="pct"/>
            <w:gridSpan w:val="5"/>
            <w:tcBorders>
              <w:top w:val="outset" w:sz="6" w:space="0" w:color="414142"/>
              <w:left w:val="outset" w:sz="6" w:space="0" w:color="414142"/>
              <w:bottom w:val="outset" w:sz="6" w:space="0" w:color="414142"/>
              <w:right w:val="outset" w:sz="6" w:space="0" w:color="414142"/>
            </w:tcBorders>
            <w:vAlign w:val="center"/>
            <w:hideMark/>
          </w:tcPr>
          <w:p w:rsidR="004D15A9" w:rsidRPr="00CD1E4D"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CD1E4D">
              <w:rPr>
                <w:rFonts w:ascii="Times New Roman" w:eastAsia="Times New Roman" w:hAnsi="Times New Roman" w:cs="Times New Roman"/>
                <w:b/>
                <w:bCs/>
                <w:sz w:val="24"/>
                <w:szCs w:val="24"/>
                <w:lang w:eastAsia="lv-LV"/>
              </w:rPr>
              <w:t>I. Tiesību akta projekta izstrādes nepieciešamība</w:t>
            </w:r>
          </w:p>
        </w:tc>
      </w:tr>
      <w:tr w:rsidR="004D15A9" w:rsidRPr="000C7AA2" w:rsidTr="00847E37">
        <w:trPr>
          <w:trHeight w:val="417"/>
        </w:trPr>
        <w:tc>
          <w:tcPr>
            <w:tcW w:w="160"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1.</w:t>
            </w:r>
          </w:p>
        </w:tc>
        <w:tc>
          <w:tcPr>
            <w:tcW w:w="1567"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Pamatojums</w:t>
            </w:r>
          </w:p>
        </w:tc>
        <w:tc>
          <w:tcPr>
            <w:tcW w:w="3274" w:type="pct"/>
            <w:tcBorders>
              <w:top w:val="outset" w:sz="6" w:space="0" w:color="414142"/>
              <w:left w:val="outset" w:sz="6" w:space="0" w:color="414142"/>
              <w:bottom w:val="outset" w:sz="6" w:space="0" w:color="414142"/>
              <w:right w:val="outset" w:sz="6" w:space="0" w:color="414142"/>
            </w:tcBorders>
            <w:hideMark/>
          </w:tcPr>
          <w:p w:rsidR="004D15A9" w:rsidRPr="000C7AA2" w:rsidRDefault="006120D3" w:rsidP="00226D7A">
            <w:pPr>
              <w:spacing w:after="0" w:line="240" w:lineRule="auto"/>
              <w:ind w:firstLine="284"/>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Tieslietu ministrijas iniciatīva</w:t>
            </w:r>
            <w:r w:rsidR="00AA1BFB">
              <w:rPr>
                <w:rFonts w:ascii="Times New Roman" w:eastAsia="Times New Roman" w:hAnsi="Times New Roman" w:cs="Times New Roman"/>
                <w:sz w:val="24"/>
                <w:szCs w:val="24"/>
                <w:lang w:eastAsia="lv-LV"/>
              </w:rPr>
              <w:t>.</w:t>
            </w:r>
          </w:p>
        </w:tc>
      </w:tr>
      <w:tr w:rsidR="004D15A9" w:rsidRPr="000C7AA2" w:rsidTr="00847E37">
        <w:trPr>
          <w:trHeight w:val="479"/>
        </w:trPr>
        <w:tc>
          <w:tcPr>
            <w:tcW w:w="160"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2.</w:t>
            </w:r>
          </w:p>
        </w:tc>
        <w:tc>
          <w:tcPr>
            <w:tcW w:w="1567"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74" w:type="pct"/>
            <w:tcBorders>
              <w:top w:val="outset" w:sz="6" w:space="0" w:color="414142"/>
              <w:left w:val="outset" w:sz="6" w:space="0" w:color="414142"/>
              <w:bottom w:val="outset" w:sz="6" w:space="0" w:color="414142"/>
              <w:right w:val="outset" w:sz="6" w:space="0" w:color="414142"/>
            </w:tcBorders>
            <w:hideMark/>
          </w:tcPr>
          <w:p w:rsidR="00226D7A" w:rsidRPr="000C7AA2" w:rsidRDefault="00226D7A" w:rsidP="00226D7A">
            <w:pPr>
              <w:pStyle w:val="naisf"/>
              <w:tabs>
                <w:tab w:val="left" w:pos="283"/>
              </w:tabs>
              <w:spacing w:before="0" w:beforeAutospacing="0" w:after="0" w:afterAutospacing="0"/>
              <w:ind w:left="34" w:right="96" w:firstLine="284"/>
              <w:jc w:val="both"/>
              <w:rPr>
                <w:color w:val="000000"/>
              </w:rPr>
            </w:pPr>
            <w:r w:rsidRPr="000C7AA2">
              <w:rPr>
                <w:color w:val="000000"/>
              </w:rPr>
              <w:t>Uztura, higiēnas piederumu, apģērba un aprūpei nepieciešama aprīkojuma normas bērnam, kurš kopā ar apcietināto māti uzturas izmeklēšanas cietumā vai kopā ar not</w:t>
            </w:r>
            <w:r w:rsidR="00B81482">
              <w:rPr>
                <w:color w:val="000000"/>
              </w:rPr>
              <w:t>iesāto māti uzturas ieslodzījuma</w:t>
            </w:r>
            <w:r w:rsidRPr="000C7AA2">
              <w:rPr>
                <w:color w:val="000000"/>
              </w:rPr>
              <w:t xml:space="preserve"> vietā (turpmāk – bērns) šobrīd </w:t>
            </w:r>
            <w:r w:rsidRPr="000C7AA2">
              <w:t>nosaka Ministru kabineta 2007.gada 13.februāra noteikumi Nr.115 „Noteikumi par apcietinātās vai notiesātās personas bērna apgādi ieslodzījuma vietā” (turpmāk – Noteikumi</w:t>
            </w:r>
            <w:r w:rsidRPr="000C7AA2">
              <w:rPr>
                <w:color w:val="000000"/>
              </w:rPr>
              <w:t xml:space="preserve"> Nr.115).</w:t>
            </w:r>
          </w:p>
          <w:p w:rsidR="0066002A" w:rsidRPr="0066002A" w:rsidRDefault="00226D7A" w:rsidP="0066002A">
            <w:pPr>
              <w:pStyle w:val="naisf"/>
              <w:spacing w:before="0" w:beforeAutospacing="0" w:after="0" w:afterAutospacing="0"/>
              <w:ind w:left="33" w:right="98" w:firstLine="283"/>
              <w:jc w:val="both"/>
            </w:pPr>
            <w:r w:rsidRPr="000C7AA2">
              <w:rPr>
                <w:color w:val="000000"/>
              </w:rPr>
              <w:t xml:space="preserve">Saskaņā ar </w:t>
            </w:r>
            <w:r w:rsidR="00FF3952">
              <w:t>Noteikumu</w:t>
            </w:r>
            <w:r w:rsidRPr="000C7AA2">
              <w:rPr>
                <w:color w:val="000000"/>
              </w:rPr>
              <w:t xml:space="preserve"> Nr.115 2.punktu bērnu nodrošina ar viņa vecumam un veselības stāvoklim atbilstošu uzturu. Savukārt minēto noteikumu 1.pielikumā noteikta dienas uztura norma bērnam, paredzot dienas uzturā iekļaujamo pārtikas produktu daudzumu (gramos). Taču Noteikumi Nr.1</w:t>
            </w:r>
            <w:r w:rsidR="0018724D">
              <w:rPr>
                <w:color w:val="000000"/>
              </w:rPr>
              <w:t>15 neparedz</w:t>
            </w:r>
            <w:r w:rsidRPr="000C7AA2">
              <w:rPr>
                <w:color w:val="000000"/>
              </w:rPr>
              <w:t xml:space="preserve"> pēc kāda principa tiek noteikta dienas uztura norma tiem bērniem, kuriem viņu veselības stāvokļa dēļ ir jānodrošina speciālais uzturs, kas atbilstu bērna noteiktajai diagnozei. </w:t>
            </w:r>
            <w:r w:rsidR="0066002A" w:rsidRPr="000C7AA2">
              <w:rPr>
                <w:color w:val="000000"/>
              </w:rPr>
              <w:t xml:space="preserve">Noteikumu projektā </w:t>
            </w:r>
            <w:r w:rsidR="0066002A" w:rsidRPr="000C7AA2">
              <w:t>paredzēts noteikt diētas, kas nepieciešama bērniem viņu veselības stāvokļa (diagnozes) dēļ, noteikšanas kārtību. Līdz ar to bērnam, kam ir noteikta konkrētā diagnoze, tiks nodrošināta ārstējošā ārsta note</w:t>
            </w:r>
            <w:r w:rsidR="0066002A">
              <w:t>ikta</w:t>
            </w:r>
            <w:r w:rsidR="00096707">
              <w:t>jai</w:t>
            </w:r>
            <w:r w:rsidR="0066002A">
              <w:t xml:space="preserve"> diagnozei atbilstoša diēta.</w:t>
            </w:r>
          </w:p>
          <w:p w:rsidR="00B903E9" w:rsidRPr="000C7AA2" w:rsidRDefault="00226D7A" w:rsidP="00B903E9">
            <w:pPr>
              <w:pStyle w:val="naisf"/>
              <w:tabs>
                <w:tab w:val="left" w:pos="341"/>
              </w:tabs>
              <w:spacing w:before="0" w:beforeAutospacing="0" w:after="0" w:afterAutospacing="0"/>
              <w:ind w:left="33" w:right="98" w:firstLine="283"/>
              <w:jc w:val="both"/>
            </w:pPr>
            <w:r w:rsidRPr="000C7AA2">
              <w:t>Noteikumi Nr.115 nenosaka bērna dienas uztura enerģētisko vērtību un uzturvērtību. Līdz ar to var rasties situācija, kad bērna ēdienreižu uzturvērtība ir pārāk maza vai pārāk liela, kas veicina nesabalansēta uztura (daudz tauku, maz olbaltumvielu) lietošanu. Tas var ietekmēt bērna veselības stāvokli, proti, ķermeņa masa var būtiski palielināties vai samazināties, radot risku izraisīt dažādas veselības problēmas. Piemēram, nepietiekama</w:t>
            </w:r>
            <w:r w:rsidR="00B903E9" w:rsidRPr="000C7AA2">
              <w:t xml:space="preserve"> olbaltumvielu uzņemšana kavē bērna augšanu un attīstību, samazinās bērna organisma pretošanās spējas slimībām. Literatūrā par bērnu uzturu </w:t>
            </w:r>
            <w:proofErr w:type="gramStart"/>
            <w:r w:rsidR="00847AD8">
              <w:t>(</w:t>
            </w:r>
            <w:proofErr w:type="spellStart"/>
            <w:proofErr w:type="gramEnd"/>
            <w:r w:rsidR="00847AD8">
              <w:t>Vilsa</w:t>
            </w:r>
            <w:proofErr w:type="spellEnd"/>
            <w:r w:rsidR="00847AD8">
              <w:t xml:space="preserve"> J. Bērnu uzturs, Jāņ</w:t>
            </w:r>
            <w:r w:rsidR="00B903E9" w:rsidRPr="000C7AA2">
              <w:t>a Rozes apgāds, 2009) ir norādīts, ka liesa gaļa ir svarīgs pilnvērtīgo (dzīvnieku valsts) olbaltumvielu un dzelzs avots, kas ir īpaši nepieciešami augošam bērna organismam. Lietojot uzturā gaļas produktus (piemēram, desas, cīsiņus, u</w:t>
            </w:r>
            <w:r w:rsidR="00290F14">
              <w:t>.</w:t>
            </w:r>
            <w:r w:rsidR="00B903E9" w:rsidRPr="000C7AA2">
              <w:t>tml.), tiem nav vienāds olbaltumvielu un veselīgo tauku saturs, kā tāda paša daudzuma un apjoma liesai gaļai un zivīm. Ja bērns uzturā liesas gaļas vai zivju vietā saņem gaļas produktus ar augstu sāls, tauku saturu, kā arī bērnu uzturā nevēlamo pārtikas piedevu un samazinātu olbaltumvielu daudzumu, tas neatbilst veselīga</w:t>
            </w:r>
            <w:r w:rsidR="00F34243">
              <w:t>m</w:t>
            </w:r>
            <w:r w:rsidR="00B903E9" w:rsidRPr="000C7AA2">
              <w:t xml:space="preserve"> </w:t>
            </w:r>
            <w:r w:rsidR="00B903E9" w:rsidRPr="000C7AA2">
              <w:lastRenderedPageBreak/>
              <w:t>uzturam un nav vēlama šādu produktu lietošana bērna uzturā.</w:t>
            </w:r>
          </w:p>
          <w:p w:rsidR="00B903E9" w:rsidRPr="000C7AA2" w:rsidRDefault="00B903E9" w:rsidP="00B903E9">
            <w:pPr>
              <w:pStyle w:val="naisf"/>
              <w:tabs>
                <w:tab w:val="left" w:pos="341"/>
              </w:tabs>
              <w:spacing w:before="0" w:beforeAutospacing="0" w:after="0" w:afterAutospacing="0"/>
              <w:ind w:left="33" w:right="98" w:firstLine="283"/>
              <w:jc w:val="both"/>
            </w:pPr>
            <w:r w:rsidRPr="000C7AA2">
              <w:rPr>
                <w:color w:val="414142"/>
              </w:rPr>
              <w:t xml:space="preserve"> </w:t>
            </w:r>
            <w:r w:rsidRPr="000C7AA2">
              <w:t xml:space="preserve">Atbilstoši ar Veselības ministrijas 2003.gada 25.jūlija rīkojumu Nr.202 apstiprinātajiem </w:t>
            </w:r>
            <w:r w:rsidR="00F34243">
              <w:t>ieteikumiem „Ieteikumi</w:t>
            </w:r>
            <w:r w:rsidRPr="000C7AA2">
              <w:t xml:space="preserve"> veselīga uztura pagatavošanai bērniem vecumā no diviem līdz astoņpadsmit gadiem” olbaltumvielas veido, atjauno un aizsargā organisma audus. Tās ir īpaši svarīgas augšanas un attīstības procesos. Tāpēc bērna uzturā ir svarīgi katru dienu iekļaut olas, pienu un piena produktus, liesu gaļu, zivis, gaļas un zivju produktus. Liesa gaļa ir vislabākais dzelzs avots uzturā. Lai sekmētu dzelzs uzsūkšanos, ir nepieciešams C vitamīns, kas savukārt ir dārzeņos un augļos. Tāpēc liesu gaļu vi</w:t>
            </w:r>
            <w:r w:rsidR="00287C65">
              <w:t>slabāk ir pasniegt kopā ar dārze</w:t>
            </w:r>
            <w:r w:rsidRPr="000C7AA2">
              <w:t>ņiem un augļiem. Savukārt ogļhidrāti organismu nodrošina ar enerģiju, kas nepieciešama augšanai un fiziskai aktivitātei. Tāpēc bērna uzturā ir svarīgi katru dienu iekļaut maizi, makaronus, kartupeļus un putraimus. Bērnu uzturā arī jāiekļauj piens un piena produkti. To sastāvā ir tādas nepieciešamas uzturvielas kā olbaltumvielas, vitamīni un mikroelementi. Piens un piena produkti ir nozīmīgākais viegli izmantojama dabīgā kalcija un fosfora avots. Līdz ar to pienam un piena produktiem ir svarīgākā loma stipru kaulaudu veidošan</w:t>
            </w:r>
            <w:r w:rsidR="00C028BC">
              <w:t>ā. Savukārt augļi un dārzeņ</w:t>
            </w:r>
            <w:r w:rsidRPr="000C7AA2">
              <w:t>i ir bagātīgs vitamīnu, minerālvielu, šķiedrvielu un citu bioloģiski aktīvu vielu avots. Dārzeņiem un augļiem jābūt iekļautiem katrā bērna ēdienreizē.</w:t>
            </w:r>
          </w:p>
          <w:p w:rsidR="00B903E9" w:rsidRPr="000C7AA2" w:rsidRDefault="00B903E9" w:rsidP="00B903E9">
            <w:pPr>
              <w:pStyle w:val="naisf"/>
              <w:tabs>
                <w:tab w:val="left" w:pos="341"/>
              </w:tabs>
              <w:spacing w:before="0" w:beforeAutospacing="0" w:after="0" w:afterAutospacing="0"/>
              <w:ind w:left="33" w:right="98" w:firstLine="283"/>
              <w:jc w:val="both"/>
            </w:pPr>
            <w:r w:rsidRPr="000C7AA2">
              <w:t xml:space="preserve">Enerģētiskās vērtības un uzturvielu normas bērniem noteikumu projektā aprēķinātas, ņemot vērā Ministru kabineta 2012.gada 13.marta noteikumus Nr.172 „Noteikumi par uztura normām izglītības iestāžu izglītojamiem, sociālās aprūpes un sociālās rehabilitācijas institūciju klientiem un ārstniecības iestāžu pacientiem”, kuros enerģētiskās vērtības un uzturvielu devas aprēķinātas, izmantojot ar Veselības ministrijas 2008.gada 15.oktobra rīkojumu Nr.174 apstiprinātos „Ieteicamās enerģijas un uzturvielu devas Latvijas iedzīvotājiem”. </w:t>
            </w:r>
          </w:p>
          <w:p w:rsidR="00B903E9" w:rsidRPr="0066002A" w:rsidRDefault="00B903E9" w:rsidP="0066002A">
            <w:pPr>
              <w:spacing w:after="0" w:line="240" w:lineRule="auto"/>
              <w:ind w:left="34" w:right="96" w:firstLine="284"/>
              <w:jc w:val="both"/>
              <w:rPr>
                <w:rFonts w:ascii="Times New Roman" w:hAnsi="Times New Roman" w:cs="Times New Roman"/>
                <w:sz w:val="24"/>
                <w:szCs w:val="24"/>
              </w:rPr>
            </w:pPr>
            <w:r w:rsidRPr="0066002A">
              <w:rPr>
                <w:rFonts w:ascii="Times New Roman" w:hAnsi="Times New Roman" w:cs="Times New Roman"/>
                <w:sz w:val="24"/>
                <w:szCs w:val="24"/>
              </w:rPr>
              <w:t xml:space="preserve">Ņemot vērā </w:t>
            </w:r>
            <w:r w:rsidRPr="0066002A">
              <w:rPr>
                <w:rFonts w:ascii="Times New Roman" w:hAnsi="Times New Roman" w:cs="Times New Roman"/>
                <w:color w:val="000000"/>
                <w:sz w:val="24"/>
                <w:szCs w:val="24"/>
              </w:rPr>
              <w:t xml:space="preserve">minēto, noteikumu projektā </w:t>
            </w:r>
            <w:r w:rsidRPr="0066002A">
              <w:rPr>
                <w:rFonts w:ascii="Times New Roman" w:hAnsi="Times New Roman" w:cs="Times New Roman"/>
                <w:sz w:val="24"/>
                <w:szCs w:val="24"/>
              </w:rPr>
              <w:t>paredzēts noteikt sabalansētā dienas uztura normas, enerģētiskās vērtības un uzturvielu normas bērnam. Noteikumu projektā paredzēts noteikt produktus, kurus nelieto ēdiena, kas paredzēts bērnam, gatavošanā, kā arī produktus, kurus bērna uzturā var iekļaut ne biežāk kā reizi nedēļā, kas nebija paredzēts Noteikumos Nr.115.</w:t>
            </w:r>
            <w:r w:rsidR="0066002A" w:rsidRPr="0066002A">
              <w:rPr>
                <w:rFonts w:ascii="Times New Roman" w:hAnsi="Times New Roman" w:cs="Times New Roman"/>
                <w:sz w:val="24"/>
                <w:szCs w:val="24"/>
              </w:rPr>
              <w:t xml:space="preserve"> Līdz ar to bērni tiks nodr</w:t>
            </w:r>
            <w:r w:rsidR="00C028BC">
              <w:rPr>
                <w:rFonts w:ascii="Times New Roman" w:hAnsi="Times New Roman" w:cs="Times New Roman"/>
                <w:sz w:val="24"/>
                <w:szCs w:val="24"/>
              </w:rPr>
              <w:t>ošināti ar pilnvērtīgu, veselīgu un sabalansētu</w:t>
            </w:r>
            <w:r w:rsidR="0066002A" w:rsidRPr="0066002A">
              <w:rPr>
                <w:rFonts w:ascii="Times New Roman" w:hAnsi="Times New Roman" w:cs="Times New Roman"/>
                <w:sz w:val="24"/>
                <w:szCs w:val="24"/>
              </w:rPr>
              <w:t xml:space="preserve"> uzturu. </w:t>
            </w:r>
          </w:p>
          <w:p w:rsidR="00B903E9" w:rsidRPr="00C43DD2" w:rsidRDefault="007A4A52" w:rsidP="00C43DD2">
            <w:pPr>
              <w:pStyle w:val="naisf"/>
              <w:spacing w:before="0" w:beforeAutospacing="0" w:after="0" w:afterAutospacing="0"/>
              <w:ind w:left="33" w:right="98" w:firstLine="283"/>
              <w:jc w:val="both"/>
              <w:rPr>
                <w:color w:val="7030A0"/>
              </w:rPr>
            </w:pPr>
            <w:r>
              <w:t>Noteikumu Nr.115 2.punktā cita starp</w:t>
            </w:r>
            <w:r w:rsidR="00B903E9" w:rsidRPr="000C7AA2">
              <w:t xml:space="preserve"> noteikts, ka bērnu nodrošina ar higiēnas piederumiem, apģērbu, apaviem un mīksto inventāru</w:t>
            </w:r>
            <w:r w:rsidR="00FB369F">
              <w:t>, kā arī ar viņa aprūpei nepieciešamo aprīkojumu</w:t>
            </w:r>
            <w:r w:rsidR="00A368C3">
              <w:t>.</w:t>
            </w:r>
            <w:r w:rsidR="00B903E9" w:rsidRPr="000C7AA2">
              <w:rPr>
                <w:color w:val="000000"/>
              </w:rPr>
              <w:t xml:space="preserve"> Savukārt minēto noteikumu 2.pielikumā noteiktas higiēnas piederumu normas bērnam, noteikumu 3.pielikumā noteiktas </w:t>
            </w:r>
            <w:r w:rsidR="00B903E9" w:rsidRPr="000C7AA2">
              <w:t>apģērba, apavu un mīkstā inventāra normas</w:t>
            </w:r>
            <w:r w:rsidR="00FB369F">
              <w:t>, bet 4.pielikumā noteikts aprīkojums bērna fizioloģisko un higiēnas vajadzību nodrošināšanai</w:t>
            </w:r>
            <w:r w:rsidR="00A368C3">
              <w:t>.</w:t>
            </w:r>
            <w:r w:rsidR="00B903E9" w:rsidRPr="000C7AA2">
              <w:t xml:space="preserve"> No Noteikumu Nr.115 </w:t>
            </w:r>
            <w:r w:rsidR="00B903E9" w:rsidRPr="000C7AA2">
              <w:lastRenderedPageBreak/>
              <w:t xml:space="preserve">stāšanās spēkā, proti, no 2007.gada 17.februāra, </w:t>
            </w:r>
            <w:r w:rsidR="000C4E12">
              <w:t xml:space="preserve">ir pagājuši </w:t>
            </w:r>
            <w:r w:rsidR="00A368C3">
              <w:t>asto</w:t>
            </w:r>
            <w:r w:rsidR="006837D6">
              <w:t>ņi</w:t>
            </w:r>
            <w:r w:rsidR="00B903E9" w:rsidRPr="000C7AA2">
              <w:t xml:space="preserve"> gadi. Minētajā laika posmā, piemērojot Noteikumus Nr.115, ir izkristalizējusies reālā situācija attiecībā uz minēto noteikumu 2. un 3.pielikumā noteikto higiēnas piederumu, apģērba, apavu un mīkstā inventāra normu</w:t>
            </w:r>
            <w:r w:rsidR="00830D26">
              <w:t xml:space="preserve"> </w:t>
            </w:r>
            <w:r w:rsidR="00B903E9" w:rsidRPr="000C7AA2">
              <w:t>nepieciešamību bērniem. Proti, bērn</w:t>
            </w:r>
            <w:r w:rsidR="00A85D3D">
              <w:t>u aprūpei</w:t>
            </w:r>
            <w:r w:rsidR="00B903E9" w:rsidRPr="000C7AA2">
              <w:t xml:space="preserve"> no gada līdz četru gadu vecumam nav nepieciešama bērnu eļļa</w:t>
            </w:r>
            <w:r w:rsidR="006663B8">
              <w:t xml:space="preserve"> un vates tamponi</w:t>
            </w:r>
            <w:r w:rsidR="00A85D3D">
              <w:t>, bērnu aprūpei</w:t>
            </w:r>
            <w:r w:rsidR="00C9679C">
              <w:t xml:space="preserve"> no divu gadu vecuma līdz četru gadu vecumam nav nepieciešamas</w:t>
            </w:r>
            <w:r w:rsidR="00B903E9" w:rsidRPr="000C7AA2">
              <w:t xml:space="preserve"> mitrās salvetes, kā arī dažu Noteikumu Nr.115 2.pielikumā noteikto higiēnas piederumu normas </w:t>
            </w:r>
            <w:r w:rsidR="00B903E9" w:rsidRPr="005C2DB3">
              <w:rPr>
                <w:u w:val="single"/>
              </w:rPr>
              <w:t>pārsniedz gadā izlietojamo higiēnas piederumu normas</w:t>
            </w:r>
            <w:r w:rsidR="00B903E9" w:rsidRPr="000C7AA2">
              <w:t>. Savukārt tādi higiēnas piederumi kā knupīši bērnam līdz gada vecumam nepieciešami lielākā daudzumā, nekā tas noteikts Noteikumos Nr.115</w:t>
            </w:r>
            <w:r w:rsidR="002257C1">
              <w:t>, turklāt knupīši nav</w:t>
            </w:r>
            <w:r w:rsidR="002257C1" w:rsidRPr="000C7AA2">
              <w:t xml:space="preserve"> higiēnas piederumi</w:t>
            </w:r>
            <w:r w:rsidR="002257C1">
              <w:t>, bet inventārs, kas nepieciešams bērnam</w:t>
            </w:r>
            <w:r w:rsidR="00B903E9" w:rsidRPr="000C7AA2">
              <w:t xml:space="preserve">. </w:t>
            </w:r>
            <w:r w:rsidR="00104F1F">
              <w:t xml:space="preserve">Bērnu aprūpei arī nepieciešami tādi higiēnas piederumi kā </w:t>
            </w:r>
            <w:proofErr w:type="spellStart"/>
            <w:r w:rsidR="00104F1F">
              <w:t>švamme</w:t>
            </w:r>
            <w:proofErr w:type="spellEnd"/>
            <w:r w:rsidR="00104F1F">
              <w:t xml:space="preserve">, papīra kabatlakatiņi, matu suka vai ķemme. </w:t>
            </w:r>
            <w:r w:rsidR="00AF4A55" w:rsidRPr="000C7AA2">
              <w:t>A</w:t>
            </w:r>
            <w:r w:rsidR="00B903E9" w:rsidRPr="000C7AA2">
              <w:t xml:space="preserve">rī Noteikumu Nr.115 3.pielikumā noteiktās vairākas apģērba, apavu un mīkstā inventāra normas </w:t>
            </w:r>
            <w:r w:rsidR="00A368C3">
              <w:t>pārsniedz reāli gadā izlietojamā</w:t>
            </w:r>
            <w:r w:rsidR="00B903E9" w:rsidRPr="000C7AA2">
              <w:t>s normas, proti, daži apģērba, apavu un mīkstā inventāra veidi bērnam nav nepieciešami tādā daudzumā, kādā tas paredzēts Noteikumu Nr.115 3.piel</w:t>
            </w:r>
            <w:r w:rsidR="00AF4A55" w:rsidRPr="000C7AA2">
              <w:t xml:space="preserve">ikumā. </w:t>
            </w:r>
            <w:r w:rsidR="00B903E9" w:rsidRPr="000C7AA2">
              <w:t xml:space="preserve">Noteikumu Nr.115 3.pielikumā ir noteikti tādi apģērba, apavu veidi, piemēram, </w:t>
            </w:r>
            <w:r w:rsidR="003D06CD">
              <w:t>peldkostīms</w:t>
            </w:r>
            <w:r w:rsidR="00A368C3">
              <w:t>, čības, k</w:t>
            </w:r>
            <w:r w:rsidR="00B903E9" w:rsidRPr="000C7AA2">
              <w:t>as bērnam</w:t>
            </w:r>
            <w:r w:rsidR="00B46019">
              <w:t xml:space="preserve"> nav nepieciešams</w:t>
            </w:r>
            <w:r w:rsidR="00B903E9" w:rsidRPr="000C7AA2">
              <w:t xml:space="preserve">. </w:t>
            </w:r>
            <w:r w:rsidR="00C43DD2">
              <w:t>Savukārt b</w:t>
            </w:r>
            <w:r w:rsidR="00F71162">
              <w:t>ērnam līdz gada vecumam ir nepieciešams arī tāds inventārs kā</w:t>
            </w:r>
            <w:r w:rsidR="00446B41">
              <w:t xml:space="preserve">, piemēram, </w:t>
            </w:r>
            <w:r w:rsidR="00F71162">
              <w:t>zīdaiņu pakaviņš</w:t>
            </w:r>
            <w:r w:rsidR="00446B41">
              <w:t xml:space="preserve"> un </w:t>
            </w:r>
            <w:r w:rsidR="00F71162">
              <w:t>gultas apmale</w:t>
            </w:r>
            <w:r w:rsidR="00446B41">
              <w:t xml:space="preserve">. </w:t>
            </w:r>
            <w:r w:rsidR="00B903E9" w:rsidRPr="000C7AA2">
              <w:t>Ņemot vērā minēto,</w:t>
            </w:r>
            <w:r w:rsidR="00B903E9" w:rsidRPr="000C7AA2">
              <w:rPr>
                <w:color w:val="000000"/>
              </w:rPr>
              <w:t xml:space="preserve"> noteikumu projektā </w:t>
            </w:r>
            <w:r w:rsidR="00B903E9" w:rsidRPr="000C7AA2">
              <w:t xml:space="preserve">paredzēts aktualizēt bērnam </w:t>
            </w:r>
            <w:r w:rsidR="00B903E9" w:rsidRPr="000C7AA2">
              <w:rPr>
                <w:bCs/>
                <w:color w:val="000000"/>
              </w:rPr>
              <w:t>izsniedzamā apģērba, a</w:t>
            </w:r>
            <w:r w:rsidR="003C4194">
              <w:rPr>
                <w:bCs/>
                <w:color w:val="000000"/>
              </w:rPr>
              <w:t>pavu,</w:t>
            </w:r>
            <w:r w:rsidR="00446B41">
              <w:rPr>
                <w:bCs/>
                <w:color w:val="000000"/>
              </w:rPr>
              <w:t xml:space="preserve"> gultas piederumu,</w:t>
            </w:r>
            <w:r w:rsidR="003C4194">
              <w:rPr>
                <w:bCs/>
                <w:color w:val="000000"/>
              </w:rPr>
              <w:t xml:space="preserve"> inventāra un higiēnas piederumu normas, </w:t>
            </w:r>
            <w:r w:rsidR="00007F6F">
              <w:rPr>
                <w:bCs/>
                <w:color w:val="000000"/>
              </w:rPr>
              <w:t>norādot tās atsevišķo</w:t>
            </w:r>
            <w:r w:rsidR="00963B5F">
              <w:rPr>
                <w:bCs/>
                <w:color w:val="000000"/>
              </w:rPr>
              <w:t xml:space="preserve">s </w:t>
            </w:r>
            <w:r w:rsidR="00007F6F">
              <w:rPr>
                <w:bCs/>
                <w:color w:val="000000"/>
              </w:rPr>
              <w:t>pielikumos</w:t>
            </w:r>
            <w:r w:rsidR="00963B5F">
              <w:rPr>
                <w:bCs/>
                <w:color w:val="000000"/>
              </w:rPr>
              <w:t xml:space="preserve"> (1.pielikums „</w:t>
            </w:r>
            <w:r w:rsidR="00007F6F">
              <w:rPr>
                <w:bCs/>
                <w:color w:val="000000"/>
              </w:rPr>
              <w:t>Higiēnas piederumu normas bērnam līdz gada vecumam, kurš kopā ar apcietināto vai notiesāto māti uzturas ieslodzījuma vietā</w:t>
            </w:r>
            <w:r w:rsidR="00963B5F">
              <w:rPr>
                <w:bCs/>
                <w:color w:val="000000"/>
              </w:rPr>
              <w:t>”</w:t>
            </w:r>
            <w:r w:rsidR="00007F6F">
              <w:rPr>
                <w:bCs/>
                <w:color w:val="000000"/>
              </w:rPr>
              <w:t xml:space="preserve">, 2.pielikums „Higiēnas piederumu normas bērnam no gada līdz četru gadu vecumam, kurš kopā ar apcietināto vai notiesāto māti uzturas ieslodzījuma vietā”, </w:t>
            </w:r>
            <w:r w:rsidR="00963B5F">
              <w:rPr>
                <w:bCs/>
                <w:color w:val="000000"/>
              </w:rPr>
              <w:t>3.pi</w:t>
            </w:r>
            <w:r w:rsidR="00C43DD2">
              <w:rPr>
                <w:bCs/>
                <w:color w:val="000000"/>
              </w:rPr>
              <w:t>e</w:t>
            </w:r>
            <w:r w:rsidR="00963B5F">
              <w:rPr>
                <w:bCs/>
                <w:color w:val="000000"/>
              </w:rPr>
              <w:t>likums „Apģērba un apavu normas bērnam, kurš kopā ar apcietināto vai notiesāto māti uzturas ieslodzījuma vietā” un 4.pielikums „Gultas piederumu un inventāra normas bērnam, kurš kopā ar apcietināto vai notiesāto māti uzturas ieslodzījuma vietā”)</w:t>
            </w:r>
            <w:r w:rsidR="00446B41">
              <w:rPr>
                <w:bCs/>
                <w:color w:val="000000"/>
              </w:rPr>
              <w:t xml:space="preserve">. Savukārt noteikumu projekts neparedz </w:t>
            </w:r>
            <w:r w:rsidR="003C4194" w:rsidRPr="00446B41">
              <w:rPr>
                <w:bCs/>
              </w:rPr>
              <w:t>aprīkojumu bērna fizioloģisko un higiēnas vajadzību nodrošināšanai</w:t>
            </w:r>
            <w:r w:rsidR="00446B41">
              <w:rPr>
                <w:bCs/>
              </w:rPr>
              <w:t xml:space="preserve">, jo minētais aprīkojums paredzēts Ministru kabineta 2013.gada 17.septembra noteikumos Nr.890 „Higiēnas prasības bērnu uzraudzības pakalpojuma sniedzējiem un izglītības iestādēm, kas īsteno </w:t>
            </w:r>
            <w:r w:rsidR="00E437FF">
              <w:rPr>
                <w:bCs/>
              </w:rPr>
              <w:t>pirmsskolas izglītības programmu</w:t>
            </w:r>
            <w:r w:rsidR="00446B41">
              <w:rPr>
                <w:bCs/>
              </w:rPr>
              <w:t>”</w:t>
            </w:r>
            <w:r w:rsidR="003C4194" w:rsidRPr="00963B5F">
              <w:rPr>
                <w:bCs/>
                <w:color w:val="7030A0"/>
              </w:rPr>
              <w:t>.</w:t>
            </w:r>
          </w:p>
          <w:p w:rsidR="00B903E9" w:rsidRPr="000C7AA2" w:rsidRDefault="00B903E9" w:rsidP="00B903E9">
            <w:pPr>
              <w:pStyle w:val="Header"/>
              <w:tabs>
                <w:tab w:val="left" w:pos="321"/>
              </w:tabs>
              <w:ind w:left="33" w:right="98" w:firstLine="283"/>
              <w:jc w:val="both"/>
              <w:rPr>
                <w:rFonts w:ascii="Times New Roman" w:hAnsi="Times New Roman" w:cs="Times New Roman"/>
                <w:bCs/>
                <w:color w:val="000000"/>
                <w:sz w:val="24"/>
                <w:szCs w:val="24"/>
              </w:rPr>
            </w:pPr>
            <w:r w:rsidRPr="000C7AA2">
              <w:rPr>
                <w:rFonts w:ascii="Times New Roman" w:hAnsi="Times New Roman" w:cs="Times New Roman"/>
                <w:bCs/>
                <w:color w:val="000000"/>
                <w:sz w:val="24"/>
                <w:szCs w:val="24"/>
              </w:rPr>
              <w:t xml:space="preserve">Noteikumu Nr.115 3.pielikumā noteikts arī apģērba, apavu un </w:t>
            </w:r>
            <w:r w:rsidRPr="000C7AA2">
              <w:rPr>
                <w:rFonts w:ascii="Times New Roman" w:hAnsi="Times New Roman" w:cs="Times New Roman"/>
                <w:sz w:val="24"/>
                <w:szCs w:val="24"/>
              </w:rPr>
              <w:t>mīkstā inventār</w:t>
            </w:r>
            <w:r w:rsidRPr="00E20D13">
              <w:rPr>
                <w:rFonts w:ascii="Times New Roman" w:hAnsi="Times New Roman" w:cs="Times New Roman"/>
                <w:sz w:val="24"/>
                <w:szCs w:val="24"/>
              </w:rPr>
              <w:t>a</w:t>
            </w:r>
            <w:r w:rsidR="00E20D13" w:rsidRPr="00E20D13">
              <w:rPr>
                <w:rFonts w:ascii="Times New Roman" w:hAnsi="Times New Roman" w:cs="Times New Roman"/>
                <w:bCs/>
                <w:color w:val="000000"/>
                <w:sz w:val="24"/>
                <w:szCs w:val="24"/>
              </w:rPr>
              <w:t xml:space="preserve"> </w:t>
            </w:r>
            <w:r w:rsidRPr="000C7AA2">
              <w:rPr>
                <w:rFonts w:ascii="Times New Roman" w:hAnsi="Times New Roman" w:cs="Times New Roman"/>
                <w:bCs/>
                <w:color w:val="000000"/>
                <w:sz w:val="24"/>
                <w:szCs w:val="24"/>
                <w:u w:val="single"/>
              </w:rPr>
              <w:t>valkāšanas/lietošanas ilgums</w:t>
            </w:r>
            <w:r w:rsidRPr="000C7AA2">
              <w:rPr>
                <w:rFonts w:ascii="Times New Roman" w:hAnsi="Times New Roman" w:cs="Times New Roman"/>
                <w:bCs/>
                <w:color w:val="000000"/>
                <w:sz w:val="24"/>
                <w:szCs w:val="24"/>
              </w:rPr>
              <w:t xml:space="preserve">. </w:t>
            </w:r>
            <w:r w:rsidR="00E20D13">
              <w:rPr>
                <w:rFonts w:ascii="Times New Roman" w:hAnsi="Times New Roman" w:cs="Times New Roman"/>
                <w:bCs/>
                <w:color w:val="000000"/>
                <w:sz w:val="24"/>
                <w:szCs w:val="24"/>
              </w:rPr>
              <w:t>Tādējādi</w:t>
            </w:r>
            <w:r w:rsidRPr="000C7AA2">
              <w:rPr>
                <w:rFonts w:ascii="Times New Roman" w:hAnsi="Times New Roman" w:cs="Times New Roman"/>
                <w:bCs/>
                <w:color w:val="000000"/>
                <w:sz w:val="24"/>
                <w:szCs w:val="24"/>
              </w:rPr>
              <w:t xml:space="preserve"> ir jāievēro katram bērnam izsniedzamā apģērba, apavu un mīkstā inventāra lietošanas ilgums. </w:t>
            </w:r>
          </w:p>
          <w:p w:rsidR="00B903E9" w:rsidRPr="000C7AA2" w:rsidRDefault="00B903E9" w:rsidP="00B903E9">
            <w:pPr>
              <w:pStyle w:val="Header"/>
              <w:tabs>
                <w:tab w:val="left" w:pos="321"/>
              </w:tabs>
              <w:ind w:left="33" w:right="98" w:firstLine="283"/>
              <w:jc w:val="both"/>
              <w:rPr>
                <w:rFonts w:ascii="Times New Roman" w:hAnsi="Times New Roman" w:cs="Times New Roman"/>
                <w:bCs/>
                <w:color w:val="000000"/>
                <w:sz w:val="24"/>
                <w:szCs w:val="24"/>
              </w:rPr>
            </w:pPr>
            <w:r w:rsidRPr="000C7AA2">
              <w:rPr>
                <w:rFonts w:ascii="Times New Roman" w:hAnsi="Times New Roman" w:cs="Times New Roman"/>
                <w:bCs/>
                <w:sz w:val="24"/>
                <w:szCs w:val="24"/>
              </w:rPr>
              <w:t>Taču ir gadījumi, kad</w:t>
            </w:r>
            <w:r w:rsidRPr="000C7AA2">
              <w:rPr>
                <w:rFonts w:ascii="Times New Roman" w:hAnsi="Times New Roman" w:cs="Times New Roman"/>
                <w:bCs/>
                <w:color w:val="000000"/>
                <w:sz w:val="24"/>
                <w:szCs w:val="24"/>
              </w:rPr>
              <w:t xml:space="preserve"> bērnam izsniedzamā apģērba, apavu </w:t>
            </w:r>
            <w:r w:rsidRPr="000C7AA2">
              <w:rPr>
                <w:rFonts w:ascii="Times New Roman" w:hAnsi="Times New Roman" w:cs="Times New Roman"/>
                <w:bCs/>
                <w:color w:val="000000"/>
                <w:sz w:val="24"/>
                <w:szCs w:val="24"/>
              </w:rPr>
              <w:lastRenderedPageBreak/>
              <w:t>un mīkstā inventāra reālais lietošanas ilgums ir mazāks, nekā tas noteikts Noteikumos Nr.115, jo bērniem izsniegtais apģērbs, apavi vai mīkstais inventārs tiek izlietots ā</w:t>
            </w:r>
            <w:r w:rsidR="00E20D13">
              <w:rPr>
                <w:rFonts w:ascii="Times New Roman" w:hAnsi="Times New Roman" w:cs="Times New Roman"/>
                <w:bCs/>
                <w:color w:val="000000"/>
                <w:sz w:val="24"/>
                <w:szCs w:val="24"/>
              </w:rPr>
              <w:t>trāk (saplē</w:t>
            </w:r>
            <w:r w:rsidRPr="000C7AA2">
              <w:rPr>
                <w:rFonts w:ascii="Times New Roman" w:hAnsi="Times New Roman" w:cs="Times New Roman"/>
                <w:bCs/>
                <w:color w:val="000000"/>
                <w:sz w:val="24"/>
                <w:szCs w:val="24"/>
              </w:rPr>
              <w:t xml:space="preserve">sts vai citādi bojāts). Ir arī gadījumi, kad pēc Noteikumos Nr.115 noteiktā, piemēram, kāda konkrētā apģērba veida, lietošanas ilguma, tas praktiski nav izlietots. </w:t>
            </w:r>
          </w:p>
          <w:p w:rsidR="00D97A24" w:rsidRDefault="00B903E9">
            <w:pPr>
              <w:spacing w:after="0" w:line="240" w:lineRule="auto"/>
              <w:ind w:right="96"/>
              <w:jc w:val="both"/>
              <w:rPr>
                <w:rFonts w:ascii="Times New Roman" w:eastAsia="Times New Roman" w:hAnsi="Times New Roman" w:cs="Times New Roman"/>
                <w:color w:val="414142"/>
                <w:sz w:val="24"/>
                <w:szCs w:val="24"/>
                <w:lang w:eastAsia="lv-LV"/>
              </w:rPr>
            </w:pPr>
            <w:r w:rsidRPr="000C7AA2">
              <w:rPr>
                <w:rFonts w:ascii="Times New Roman" w:hAnsi="Times New Roman" w:cs="Times New Roman"/>
                <w:bCs/>
                <w:color w:val="000000"/>
                <w:sz w:val="24"/>
                <w:szCs w:val="24"/>
              </w:rPr>
              <w:t>Turklāt Ministru kabineta 2009.gada 15.decembra noteikumu Nr.1489 „Kārtība, kādā budžeta iestādes kārto grāmatvedības</w:t>
            </w:r>
            <w:r w:rsidR="006D3A15">
              <w:rPr>
                <w:rFonts w:ascii="Times New Roman" w:hAnsi="Times New Roman" w:cs="Times New Roman"/>
                <w:bCs/>
                <w:color w:val="000000"/>
                <w:sz w:val="24"/>
                <w:szCs w:val="24"/>
              </w:rPr>
              <w:t xml:space="preserve"> uzskaiti” 92.punktā cita starp</w:t>
            </w:r>
            <w:r w:rsidRPr="000C7AA2">
              <w:rPr>
                <w:rFonts w:ascii="Times New Roman" w:hAnsi="Times New Roman" w:cs="Times New Roman"/>
                <w:bCs/>
                <w:color w:val="000000"/>
                <w:sz w:val="24"/>
                <w:szCs w:val="24"/>
              </w:rPr>
              <w:t xml:space="preserve"> noteikts, ka budžeta iestāde nodrošina inventāra uzskaiti arī pēc atzīšanas izdevumos līdz faktiskajai to norakstīšanai. No minēto noteikumu 1.pielikumā noteiktā izriet, ka inventārs ir arī apģērbi, apavi, veļa un gultas piederumi. Līdz ar to saskaņā ar minētajiem noteikumiem inventāru – apģērbu, apavus, veļu un gultas piederumus (mīksto inventāru), budžeta iestāde uzskaita līdz faktiskajai to norakstīšanai, respektīvi, līdz faktiskajai to izlietošanai.</w:t>
            </w:r>
            <w:r w:rsidR="0066002A">
              <w:rPr>
                <w:rFonts w:ascii="Times New Roman" w:hAnsi="Times New Roman" w:cs="Times New Roman"/>
                <w:bCs/>
                <w:color w:val="000000"/>
                <w:sz w:val="24"/>
                <w:szCs w:val="24"/>
              </w:rPr>
              <w:t xml:space="preserve"> </w:t>
            </w:r>
            <w:r w:rsidR="0066002A" w:rsidRPr="000C7AA2">
              <w:rPr>
                <w:rFonts w:ascii="Times New Roman" w:hAnsi="Times New Roman" w:cs="Times New Roman"/>
                <w:bCs/>
                <w:color w:val="000000"/>
                <w:sz w:val="24"/>
                <w:szCs w:val="24"/>
              </w:rPr>
              <w:t xml:space="preserve">Ņemot vērā to, ka Noteikumos Nr.115 ietvertais regulējums attiecībā uz noteikto bērniem izsniedzamā apģērba, apavu un mīkstā inventāra lietošanas ilgumu ierobežo Ministru kabineta 2009.gada 15.decembra noteikumos Nr.1489 „Kārtība, kādā budžeta iestādes kārto grāmatvedības uzskaiti” noteikto regulējumu attiecībā uz inventāra - apģērba, apavu, veļas un gultas piederumu, uzskaiti līdz faktiskajai to norakstīšanai, </w:t>
            </w:r>
            <w:r w:rsidR="0066002A" w:rsidRPr="000C7AA2">
              <w:rPr>
                <w:rFonts w:ascii="Times New Roman" w:hAnsi="Times New Roman" w:cs="Times New Roman"/>
                <w:sz w:val="24"/>
                <w:szCs w:val="24"/>
              </w:rPr>
              <w:t xml:space="preserve">noteikumu projektā noteikts tikai bērniem izsniedzamās apģērba, apavu un mīkstā inventāra normas, neparedzot to lietošanas ilgumu. Līdz ar to bērniem </w:t>
            </w:r>
            <w:r w:rsidR="0024344A">
              <w:rPr>
                <w:rFonts w:ascii="Times New Roman" w:hAnsi="Times New Roman" w:cs="Times New Roman"/>
                <w:sz w:val="24"/>
                <w:szCs w:val="24"/>
              </w:rPr>
              <w:t xml:space="preserve">izsniedzamais apģērbs, apavi un </w:t>
            </w:r>
            <w:r w:rsidR="0066002A" w:rsidRPr="000C7AA2">
              <w:rPr>
                <w:rFonts w:ascii="Times New Roman" w:hAnsi="Times New Roman" w:cs="Times New Roman"/>
                <w:sz w:val="24"/>
                <w:szCs w:val="24"/>
              </w:rPr>
              <w:t xml:space="preserve">inventārs </w:t>
            </w:r>
            <w:r w:rsidR="0066002A" w:rsidRPr="000C7AA2">
              <w:rPr>
                <w:rFonts w:ascii="Times New Roman" w:hAnsi="Times New Roman" w:cs="Times New Roman"/>
                <w:bCs/>
                <w:color w:val="000000"/>
                <w:sz w:val="24"/>
                <w:szCs w:val="24"/>
              </w:rPr>
              <w:t>tiks uzskaitīts līdz faktiskaja</w:t>
            </w:r>
            <w:r w:rsidR="006C33D7">
              <w:rPr>
                <w:rFonts w:ascii="Times New Roman" w:hAnsi="Times New Roman" w:cs="Times New Roman"/>
                <w:bCs/>
                <w:color w:val="000000"/>
                <w:sz w:val="24"/>
                <w:szCs w:val="24"/>
              </w:rPr>
              <w:t>i tā izlietošanai, norakstot to</w:t>
            </w:r>
            <w:r w:rsidR="0066002A" w:rsidRPr="000C7AA2">
              <w:rPr>
                <w:rFonts w:ascii="Times New Roman" w:hAnsi="Times New Roman" w:cs="Times New Roman"/>
                <w:bCs/>
                <w:color w:val="000000"/>
                <w:sz w:val="24"/>
                <w:szCs w:val="24"/>
              </w:rPr>
              <w:t xml:space="preserve"> kā faktiski izlietotu.</w:t>
            </w:r>
          </w:p>
        </w:tc>
      </w:tr>
      <w:tr w:rsidR="004D15A9" w:rsidRPr="000C7AA2" w:rsidTr="00847E37">
        <w:trPr>
          <w:trHeight w:val="479"/>
        </w:trPr>
        <w:tc>
          <w:tcPr>
            <w:tcW w:w="160"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lastRenderedPageBreak/>
              <w:t>3.</w:t>
            </w:r>
          </w:p>
        </w:tc>
        <w:tc>
          <w:tcPr>
            <w:tcW w:w="1567"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Projekta izstrādē iesaistītās institūcijas</w:t>
            </w:r>
          </w:p>
        </w:tc>
        <w:tc>
          <w:tcPr>
            <w:tcW w:w="3274" w:type="pct"/>
            <w:tcBorders>
              <w:top w:val="outset" w:sz="6" w:space="0" w:color="414142"/>
              <w:left w:val="outset" w:sz="6" w:space="0" w:color="414142"/>
              <w:bottom w:val="outset" w:sz="6" w:space="0" w:color="414142"/>
              <w:right w:val="outset" w:sz="6" w:space="0" w:color="414142"/>
            </w:tcBorders>
            <w:hideMark/>
          </w:tcPr>
          <w:p w:rsidR="004D15A9" w:rsidRPr="000C7AA2" w:rsidRDefault="00F65A68"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Nav</w:t>
            </w:r>
            <w:r w:rsidR="00AA1BFB">
              <w:rPr>
                <w:rFonts w:ascii="Times New Roman" w:eastAsia="Times New Roman" w:hAnsi="Times New Roman" w:cs="Times New Roman"/>
                <w:sz w:val="24"/>
                <w:szCs w:val="24"/>
                <w:lang w:eastAsia="lv-LV"/>
              </w:rPr>
              <w:t>.</w:t>
            </w:r>
          </w:p>
        </w:tc>
      </w:tr>
      <w:tr w:rsidR="004D15A9" w:rsidRPr="000C7AA2" w:rsidTr="00847E37">
        <w:trPr>
          <w:trHeight w:val="664"/>
        </w:trPr>
        <w:tc>
          <w:tcPr>
            <w:tcW w:w="160"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4.</w:t>
            </w:r>
          </w:p>
        </w:tc>
        <w:tc>
          <w:tcPr>
            <w:tcW w:w="1567" w:type="pct"/>
            <w:gridSpan w:val="2"/>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Cita informācija</w:t>
            </w:r>
          </w:p>
        </w:tc>
        <w:tc>
          <w:tcPr>
            <w:tcW w:w="3274" w:type="pct"/>
            <w:tcBorders>
              <w:top w:val="outset" w:sz="6" w:space="0" w:color="414142"/>
              <w:left w:val="outset" w:sz="6" w:space="0" w:color="414142"/>
              <w:bottom w:val="outset" w:sz="6" w:space="0" w:color="414142"/>
              <w:right w:val="outset" w:sz="6" w:space="0" w:color="414142"/>
            </w:tcBorders>
            <w:hideMark/>
          </w:tcPr>
          <w:p w:rsidR="00F65A68" w:rsidRPr="000C7AA2" w:rsidRDefault="00F65A68" w:rsidP="00F65A68">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Nav</w:t>
            </w:r>
            <w:r w:rsidR="00AA1BFB">
              <w:rPr>
                <w:rFonts w:ascii="Times New Roman" w:eastAsia="Times New Roman" w:hAnsi="Times New Roman" w:cs="Times New Roman"/>
                <w:sz w:val="24"/>
                <w:szCs w:val="24"/>
                <w:lang w:eastAsia="lv-LV"/>
              </w:rPr>
              <w:t>.</w:t>
            </w:r>
            <w:r w:rsidRPr="000C7AA2">
              <w:rPr>
                <w:rFonts w:ascii="Times New Roman" w:eastAsia="Times New Roman" w:hAnsi="Times New Roman" w:cs="Times New Roman"/>
                <w:sz w:val="24"/>
                <w:szCs w:val="24"/>
                <w:lang w:eastAsia="lv-LV"/>
              </w:rPr>
              <w:t xml:space="preserve"> </w:t>
            </w:r>
          </w:p>
          <w:p w:rsidR="004D15A9" w:rsidRPr="000C7AA2" w:rsidRDefault="004D15A9" w:rsidP="00DA596D">
            <w:pPr>
              <w:spacing w:after="0" w:line="240" w:lineRule="auto"/>
              <w:ind w:firstLine="300"/>
              <w:rPr>
                <w:rFonts w:ascii="Times New Roman" w:eastAsia="Times New Roman" w:hAnsi="Times New Roman" w:cs="Times New Roman"/>
                <w:sz w:val="24"/>
                <w:szCs w:val="24"/>
                <w:lang w:eastAsia="lv-LV"/>
              </w:rPr>
            </w:pPr>
          </w:p>
        </w:tc>
      </w:tr>
      <w:tr w:rsidR="00031256" w:rsidRPr="000C7AA2" w:rsidTr="00847E37">
        <w:trPr>
          <w:trHeight w:val="355"/>
        </w:trPr>
        <w:tc>
          <w:tcPr>
            <w:tcW w:w="5000" w:type="pct"/>
            <w:gridSpan w:val="5"/>
            <w:tcBorders>
              <w:top w:val="outset" w:sz="6" w:space="0" w:color="414142"/>
              <w:left w:val="nil"/>
              <w:bottom w:val="single" w:sz="6" w:space="0" w:color="auto"/>
              <w:right w:val="nil"/>
            </w:tcBorders>
          </w:tcPr>
          <w:p w:rsidR="00031256" w:rsidRDefault="00031256" w:rsidP="00B903E9">
            <w:pPr>
              <w:rPr>
                <w:rFonts w:ascii="Times New Roman" w:eastAsia="Times New Roman" w:hAnsi="Times New Roman" w:cs="Times New Roman"/>
                <w:color w:val="414142"/>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00"/>
              <w:gridCol w:w="2769"/>
              <w:gridCol w:w="6230"/>
            </w:tblGrid>
            <w:tr w:rsidR="00C221DC" w:rsidRPr="00E82D26" w:rsidTr="00586A68">
              <w:trPr>
                <w:trHeight w:val="55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C221DC" w:rsidRPr="00E82D26" w:rsidRDefault="00C221DC" w:rsidP="00586A68">
                  <w:pPr>
                    <w:spacing w:after="0" w:line="240" w:lineRule="auto"/>
                    <w:ind w:firstLine="300"/>
                    <w:jc w:val="center"/>
                    <w:rPr>
                      <w:rFonts w:ascii="Times New Roman" w:eastAsia="Times New Roman" w:hAnsi="Times New Roman"/>
                      <w:b/>
                      <w:bCs/>
                      <w:sz w:val="24"/>
                      <w:szCs w:val="24"/>
                      <w:lang w:eastAsia="lv-LV"/>
                    </w:rPr>
                  </w:pPr>
                  <w:r w:rsidRPr="00E82D26">
                    <w:rPr>
                      <w:rFonts w:ascii="Times New Roman" w:eastAsia="Times New Roman" w:hAnsi="Times New Roman"/>
                      <w:b/>
                      <w:bCs/>
                      <w:sz w:val="24"/>
                      <w:szCs w:val="24"/>
                      <w:lang w:eastAsia="lv-LV"/>
                    </w:rPr>
                    <w:t>II. Tiesību akta projekta ietekme uz sabiedrību, tautsaimniecības attīstību un administratīvo slogu</w:t>
                  </w:r>
                </w:p>
              </w:tc>
            </w:tr>
            <w:tr w:rsidR="00C221DC" w:rsidRPr="00E82D26" w:rsidTr="00586A68">
              <w:trPr>
                <w:trHeight w:val="465"/>
              </w:trPr>
              <w:tc>
                <w:tcPr>
                  <w:tcW w:w="21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1.</w:t>
                  </w:r>
                </w:p>
              </w:tc>
              <w:tc>
                <w:tcPr>
                  <w:tcW w:w="147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Sabiedrības mērķgrupas, kuras tiesiskais regulējums ietekmē vai varētu ietekmēt</w:t>
                  </w:r>
                </w:p>
              </w:tc>
              <w:tc>
                <w:tcPr>
                  <w:tcW w:w="3314" w:type="pct"/>
                  <w:tcBorders>
                    <w:top w:val="single" w:sz="4" w:space="0" w:color="auto"/>
                    <w:left w:val="single" w:sz="4" w:space="0" w:color="auto"/>
                    <w:bottom w:val="single" w:sz="4" w:space="0" w:color="auto"/>
                    <w:right w:val="single" w:sz="4" w:space="0" w:color="auto"/>
                  </w:tcBorders>
                  <w:hideMark/>
                </w:tcPr>
                <w:p w:rsidR="001949BA" w:rsidRDefault="001949BA" w:rsidP="001949BA">
                  <w:pPr>
                    <w:pStyle w:val="naiskr"/>
                    <w:spacing w:before="0" w:after="0"/>
                    <w:ind w:left="34" w:right="96"/>
                    <w:jc w:val="both"/>
                  </w:pPr>
                  <w:r>
                    <w:t>Apcietinātās</w:t>
                  </w:r>
                  <w:r w:rsidRPr="00D43790">
                    <w:t xml:space="preserve"> </w:t>
                  </w:r>
                  <w:r>
                    <w:t>un a</w:t>
                  </w:r>
                  <w:r w:rsidRPr="00D43790">
                    <w:t xml:space="preserve">r brīvības atņemšanu </w:t>
                  </w:r>
                  <w:r>
                    <w:t>notiesātās sievietes</w:t>
                  </w:r>
                  <w:r w:rsidRPr="00D43790">
                    <w:t xml:space="preserve">, kas </w:t>
                  </w:r>
                  <w:r>
                    <w:t>atrodas ieslodzījuma vietā</w:t>
                  </w:r>
                  <w:r w:rsidR="006133F7">
                    <w:t xml:space="preserve"> kopā ar bērniem</w:t>
                  </w:r>
                  <w:r>
                    <w:t>.</w:t>
                  </w:r>
                </w:p>
                <w:p w:rsidR="00C221DC" w:rsidRDefault="00C221DC" w:rsidP="00586A68">
                  <w:pPr>
                    <w:pStyle w:val="naiskr"/>
                    <w:spacing w:before="0" w:after="0"/>
                    <w:ind w:left="34" w:right="96"/>
                    <w:jc w:val="both"/>
                  </w:pPr>
                </w:p>
                <w:p w:rsidR="00C221DC" w:rsidRDefault="00341D4A" w:rsidP="00C221DC">
                  <w:pPr>
                    <w:pStyle w:val="naiskr"/>
                    <w:spacing w:before="0" w:after="0"/>
                    <w:ind w:left="34" w:right="96"/>
                    <w:jc w:val="both"/>
                  </w:pPr>
                  <w:r>
                    <w:t>2015. gada 2.martā</w:t>
                  </w:r>
                  <w:r w:rsidR="00C221DC" w:rsidRPr="00341D4A">
                    <w:t xml:space="preserve"> ieslodzījuma vietā</w:t>
                  </w:r>
                  <w:r>
                    <w:t>s</w:t>
                  </w:r>
                  <w:r w:rsidR="00C221DC" w:rsidRPr="00341D4A">
                    <w:t xml:space="preserve"> atradās </w:t>
                  </w:r>
                  <w:r>
                    <w:t xml:space="preserve">180 </w:t>
                  </w:r>
                  <w:r w:rsidR="00C221DC" w:rsidRPr="00341D4A">
                    <w:t xml:space="preserve">notiesātās un </w:t>
                  </w:r>
                  <w:r>
                    <w:t xml:space="preserve">92 </w:t>
                  </w:r>
                  <w:r w:rsidR="00C221DC" w:rsidRPr="00341D4A">
                    <w:t>apcietinātās sievie</w:t>
                  </w:r>
                  <w:r>
                    <w:t>tes, tai skaitā kopā ar bērniem – 12 ieslodzītās (</w:t>
                  </w:r>
                  <w:r w:rsidR="00216272">
                    <w:t>trīs</w:t>
                  </w:r>
                  <w:r>
                    <w:t xml:space="preserve"> apcietinātās un </w:t>
                  </w:r>
                  <w:r w:rsidR="00216272">
                    <w:t>deviņas</w:t>
                  </w:r>
                  <w:r>
                    <w:t xml:space="preserve"> notiesātās sievietes).</w:t>
                  </w:r>
                </w:p>
                <w:p w:rsidR="0091323D" w:rsidRPr="00341D4A" w:rsidRDefault="0091323D" w:rsidP="00C221DC">
                  <w:pPr>
                    <w:pStyle w:val="naiskr"/>
                    <w:spacing w:before="0" w:after="0"/>
                    <w:ind w:left="34" w:right="96"/>
                    <w:jc w:val="both"/>
                  </w:pPr>
                </w:p>
                <w:p w:rsidR="00C221DC" w:rsidRDefault="00E62350" w:rsidP="00C221DC">
                  <w:pPr>
                    <w:pStyle w:val="naiskr"/>
                    <w:spacing w:before="0" w:after="0"/>
                    <w:ind w:left="34" w:right="96"/>
                    <w:jc w:val="both"/>
                  </w:pPr>
                  <w:r>
                    <w:t>2015.gada 2.martā ieslodzījuma vietās tika nodarbinātas 2129</w:t>
                  </w:r>
                  <w:r w:rsidR="00C221DC" w:rsidRPr="00341D4A">
                    <w:t xml:space="preserve"> amatpersonas un </w:t>
                  </w:r>
                  <w:r>
                    <w:t xml:space="preserve">399,85 </w:t>
                  </w:r>
                  <w:r w:rsidR="00C221DC" w:rsidRPr="00341D4A">
                    <w:t>darbinieki</w:t>
                  </w:r>
                  <w:r>
                    <w:t>.</w:t>
                  </w:r>
                </w:p>
                <w:p w:rsidR="00E62350" w:rsidRPr="00CF58E2" w:rsidRDefault="00E62350" w:rsidP="00C221DC">
                  <w:pPr>
                    <w:pStyle w:val="naiskr"/>
                    <w:spacing w:before="0" w:after="0"/>
                    <w:ind w:left="34" w:right="96"/>
                    <w:jc w:val="both"/>
                  </w:pPr>
                </w:p>
              </w:tc>
            </w:tr>
            <w:tr w:rsidR="00C221DC" w:rsidRPr="00E82D26" w:rsidTr="00586A68">
              <w:trPr>
                <w:trHeight w:val="510"/>
              </w:trPr>
              <w:tc>
                <w:tcPr>
                  <w:tcW w:w="21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2.</w:t>
                  </w:r>
                </w:p>
              </w:tc>
              <w:tc>
                <w:tcPr>
                  <w:tcW w:w="147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 xml:space="preserve">Tiesiskā regulējuma ietekme uz tautsaimniecību </w:t>
                  </w:r>
                  <w:r w:rsidRPr="00E82D26">
                    <w:rPr>
                      <w:rFonts w:ascii="Times New Roman" w:eastAsia="Times New Roman" w:hAnsi="Times New Roman"/>
                      <w:sz w:val="24"/>
                      <w:szCs w:val="24"/>
                      <w:lang w:eastAsia="lv-LV"/>
                    </w:rPr>
                    <w:lastRenderedPageBreak/>
                    <w:t>un administratīvo slogu</w:t>
                  </w:r>
                </w:p>
              </w:tc>
              <w:tc>
                <w:tcPr>
                  <w:tcW w:w="3314"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Projekts šo jomu neskar.</w:t>
                  </w:r>
                </w:p>
              </w:tc>
            </w:tr>
            <w:tr w:rsidR="00C221DC" w:rsidRPr="00E82D26" w:rsidTr="00586A68">
              <w:trPr>
                <w:trHeight w:val="510"/>
              </w:trPr>
              <w:tc>
                <w:tcPr>
                  <w:tcW w:w="21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lastRenderedPageBreak/>
                    <w:t>3.</w:t>
                  </w:r>
                </w:p>
              </w:tc>
              <w:tc>
                <w:tcPr>
                  <w:tcW w:w="147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Administratīvo izmaksu monetārs novērtējums</w:t>
                  </w:r>
                </w:p>
              </w:tc>
              <w:tc>
                <w:tcPr>
                  <w:tcW w:w="3314"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Projekts šo jomu neskar. </w:t>
                  </w:r>
                </w:p>
              </w:tc>
            </w:tr>
            <w:tr w:rsidR="00C221DC" w:rsidRPr="00E82D26" w:rsidTr="00586A68">
              <w:trPr>
                <w:trHeight w:val="345"/>
              </w:trPr>
              <w:tc>
                <w:tcPr>
                  <w:tcW w:w="21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4.</w:t>
                  </w:r>
                </w:p>
              </w:tc>
              <w:tc>
                <w:tcPr>
                  <w:tcW w:w="1473"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Cita informācija</w:t>
                  </w:r>
                </w:p>
              </w:tc>
              <w:tc>
                <w:tcPr>
                  <w:tcW w:w="3314" w:type="pct"/>
                  <w:tcBorders>
                    <w:top w:val="single" w:sz="4" w:space="0" w:color="auto"/>
                    <w:left w:val="single" w:sz="4" w:space="0" w:color="auto"/>
                    <w:bottom w:val="single" w:sz="4" w:space="0" w:color="auto"/>
                    <w:right w:val="single" w:sz="4" w:space="0" w:color="auto"/>
                  </w:tcBorders>
                  <w:hideMark/>
                </w:tcPr>
                <w:p w:rsidR="00C221DC" w:rsidRPr="00E82D26" w:rsidRDefault="00C221DC" w:rsidP="00586A68">
                  <w:pPr>
                    <w:spacing w:after="0" w:line="240" w:lineRule="auto"/>
                    <w:rPr>
                      <w:rFonts w:ascii="Times New Roman" w:eastAsia="Times New Roman" w:hAnsi="Times New Roman"/>
                      <w:sz w:val="24"/>
                      <w:szCs w:val="24"/>
                      <w:lang w:eastAsia="lv-LV"/>
                    </w:rPr>
                  </w:pPr>
                  <w:r w:rsidRPr="00E82D26">
                    <w:rPr>
                      <w:rFonts w:ascii="Times New Roman" w:eastAsia="Times New Roman" w:hAnsi="Times New Roman"/>
                      <w:sz w:val="24"/>
                      <w:szCs w:val="24"/>
                      <w:lang w:eastAsia="lv-LV"/>
                    </w:rPr>
                    <w:t>Nav.</w:t>
                  </w:r>
                </w:p>
              </w:tc>
            </w:tr>
          </w:tbl>
          <w:p w:rsidR="00C221DC" w:rsidRPr="000C7AA2" w:rsidRDefault="00C221DC" w:rsidP="00B903E9">
            <w:pPr>
              <w:rPr>
                <w:rFonts w:ascii="Times New Roman" w:eastAsia="Times New Roman" w:hAnsi="Times New Roman" w:cs="Times New Roman"/>
                <w:color w:val="414142"/>
                <w:sz w:val="24"/>
                <w:szCs w:val="24"/>
                <w:lang w:eastAsia="lv-LV"/>
              </w:rPr>
            </w:pPr>
          </w:p>
          <w:tbl>
            <w:tblPr>
              <w:tblW w:w="9351" w:type="dxa"/>
              <w:tblCellSpacing w:w="15" w:type="dxa"/>
              <w:tblBorders>
                <w:top w:val="single" w:sz="4" w:space="0" w:color="auto"/>
                <w:left w:val="single" w:sz="4" w:space="0" w:color="auto"/>
                <w:bottom w:val="single" w:sz="4" w:space="0" w:color="auto"/>
                <w:right w:val="single" w:sz="4" w:space="0" w:color="auto"/>
              </w:tblBorders>
              <w:tblCellMar>
                <w:top w:w="30" w:type="dxa"/>
                <w:left w:w="30" w:type="dxa"/>
                <w:bottom w:w="30" w:type="dxa"/>
                <w:right w:w="30" w:type="dxa"/>
              </w:tblCellMar>
              <w:tblLook w:val="0000"/>
            </w:tblPr>
            <w:tblGrid>
              <w:gridCol w:w="1709"/>
              <w:gridCol w:w="1176"/>
              <w:gridCol w:w="1514"/>
              <w:gridCol w:w="1731"/>
              <w:gridCol w:w="1731"/>
              <w:gridCol w:w="1490"/>
            </w:tblGrid>
            <w:tr w:rsidR="00605B4D" w:rsidRPr="000C7AA2" w:rsidTr="00605B4D">
              <w:trPr>
                <w:tblCellSpacing w:w="15" w:type="dxa"/>
              </w:trPr>
              <w:tc>
                <w:tcPr>
                  <w:tcW w:w="9291" w:type="dxa"/>
                  <w:gridSpan w:val="6"/>
                  <w:tcBorders>
                    <w:top w:val="nil"/>
                    <w:bottom w:val="single" w:sz="4" w:space="0" w:color="auto"/>
                  </w:tcBorders>
                </w:tcPr>
                <w:p w:rsidR="00605B4D" w:rsidRPr="000C7AA2" w:rsidRDefault="00605B4D" w:rsidP="00FA6C73">
                  <w:pPr>
                    <w:pStyle w:val="NormalWeb"/>
                    <w:jc w:val="center"/>
                    <w:rPr>
                      <w:b/>
                      <w:bCs/>
                    </w:rPr>
                  </w:pPr>
                  <w:r w:rsidRPr="000C7AA2">
                    <w:rPr>
                      <w:b/>
                      <w:bCs/>
                    </w:rPr>
                    <w:t>III. Tiesību akta projekta ietekme uz valsts budžetu un pašvaldību budžetiem</w:t>
                  </w:r>
                </w:p>
              </w:tc>
            </w:tr>
            <w:tr w:rsidR="00605B4D" w:rsidRPr="000C7AA2" w:rsidTr="00605B4D">
              <w:trPr>
                <w:tblCellSpacing w:w="15" w:type="dxa"/>
              </w:trPr>
              <w:tc>
                <w:tcPr>
                  <w:tcW w:w="1664" w:type="dxa"/>
                  <w:vMerge w:val="restart"/>
                  <w:tcBorders>
                    <w:top w:val="nil"/>
                    <w:left w:val="nil"/>
                    <w:bottom w:val="single" w:sz="4" w:space="0" w:color="auto"/>
                    <w:right w:val="single" w:sz="4" w:space="0" w:color="auto"/>
                  </w:tcBorders>
                  <w:vAlign w:val="center"/>
                </w:tcPr>
                <w:p w:rsidR="00605B4D" w:rsidRPr="000C7AA2" w:rsidRDefault="00605B4D" w:rsidP="00FA6C73">
                  <w:pPr>
                    <w:pStyle w:val="NormalWeb"/>
                    <w:jc w:val="center"/>
                    <w:rPr>
                      <w:b/>
                      <w:bCs/>
                    </w:rPr>
                  </w:pPr>
                  <w:r w:rsidRPr="000C7AA2">
                    <w:rPr>
                      <w:b/>
                      <w:bCs/>
                    </w:rPr>
                    <w:t>Rādītāji</w:t>
                  </w:r>
                </w:p>
              </w:tc>
              <w:tc>
                <w:tcPr>
                  <w:tcW w:w="2660" w:type="dxa"/>
                  <w:gridSpan w:val="2"/>
                  <w:vMerge w:val="restart"/>
                  <w:tcBorders>
                    <w:top w:val="nil"/>
                    <w:bottom w:val="single" w:sz="4" w:space="0" w:color="auto"/>
                    <w:right w:val="single" w:sz="4" w:space="0" w:color="auto"/>
                  </w:tcBorders>
                  <w:vAlign w:val="center"/>
                </w:tcPr>
                <w:p w:rsidR="00605B4D" w:rsidRPr="000C7AA2" w:rsidRDefault="00A50B13" w:rsidP="00FA6C73">
                  <w:pPr>
                    <w:pStyle w:val="NormalWeb"/>
                    <w:jc w:val="center"/>
                    <w:rPr>
                      <w:b/>
                      <w:bCs/>
                    </w:rPr>
                  </w:pPr>
                  <w:r>
                    <w:rPr>
                      <w:b/>
                      <w:bCs/>
                    </w:rPr>
                    <w:t>2015</w:t>
                  </w:r>
                  <w:r w:rsidR="00605B4D" w:rsidRPr="000C7AA2">
                    <w:rPr>
                      <w:b/>
                      <w:bCs/>
                    </w:rPr>
                    <w:t>. gads</w:t>
                  </w:r>
                </w:p>
              </w:tc>
              <w:tc>
                <w:tcPr>
                  <w:tcW w:w="4907" w:type="dxa"/>
                  <w:gridSpan w:val="3"/>
                  <w:tcBorders>
                    <w:top w:val="nil"/>
                    <w:bottom w:val="single" w:sz="4" w:space="0" w:color="auto"/>
                    <w:right w:val="nil"/>
                  </w:tcBorders>
                  <w:vAlign w:val="center"/>
                </w:tcPr>
                <w:p w:rsidR="00605B4D" w:rsidRPr="000C7AA2" w:rsidRDefault="00605B4D" w:rsidP="00093074">
                  <w:pPr>
                    <w:pStyle w:val="NormalWeb"/>
                    <w:jc w:val="center"/>
                  </w:pPr>
                  <w:r w:rsidRPr="000C7AA2">
                    <w:t>Turpmākie trīs gadi (</w:t>
                  </w:r>
                  <w:proofErr w:type="spellStart"/>
                  <w:r w:rsidRPr="00093074">
                    <w:rPr>
                      <w:i/>
                    </w:rPr>
                    <w:t>euro</w:t>
                  </w:r>
                  <w:proofErr w:type="spellEnd"/>
                  <w:r w:rsidRPr="000C7AA2">
                    <w:t>)</w:t>
                  </w:r>
                </w:p>
              </w:tc>
            </w:tr>
            <w:tr w:rsidR="00605B4D" w:rsidRPr="000C7AA2" w:rsidTr="00605B4D">
              <w:trPr>
                <w:tblCellSpacing w:w="15" w:type="dxa"/>
              </w:trPr>
              <w:tc>
                <w:tcPr>
                  <w:tcW w:w="1664" w:type="dxa"/>
                  <w:vMerge/>
                  <w:tcBorders>
                    <w:top w:val="single" w:sz="4" w:space="0" w:color="auto"/>
                    <w:left w:val="nil"/>
                    <w:bottom w:val="single" w:sz="4" w:space="0" w:color="auto"/>
                    <w:right w:val="single" w:sz="4" w:space="0" w:color="auto"/>
                  </w:tcBorders>
                  <w:vAlign w:val="center"/>
                </w:tcPr>
                <w:p w:rsidR="00605B4D" w:rsidRPr="000C7AA2" w:rsidRDefault="00605B4D" w:rsidP="00FA6C73">
                  <w:pPr>
                    <w:rPr>
                      <w:rFonts w:ascii="Times New Roman" w:eastAsia="Times New Roman" w:hAnsi="Times New Roman" w:cs="Times New Roman"/>
                      <w:b/>
                      <w:bCs/>
                      <w:sz w:val="24"/>
                      <w:szCs w:val="24"/>
                    </w:rPr>
                  </w:pPr>
                </w:p>
              </w:tc>
              <w:tc>
                <w:tcPr>
                  <w:tcW w:w="2660" w:type="dxa"/>
                  <w:gridSpan w:val="2"/>
                  <w:vMerge/>
                  <w:tcBorders>
                    <w:top w:val="single" w:sz="4" w:space="0" w:color="auto"/>
                    <w:bottom w:val="single" w:sz="4" w:space="0" w:color="auto"/>
                    <w:right w:val="single" w:sz="4" w:space="0" w:color="auto"/>
                  </w:tcBorders>
                  <w:vAlign w:val="center"/>
                </w:tcPr>
                <w:p w:rsidR="00605B4D" w:rsidRPr="000C7AA2" w:rsidRDefault="00605B4D" w:rsidP="00FA6C73">
                  <w:pPr>
                    <w:rPr>
                      <w:rFonts w:ascii="Times New Roman" w:eastAsia="Times New Roman" w:hAnsi="Times New Roman" w:cs="Times New Roman"/>
                      <w:b/>
                      <w:bCs/>
                      <w:sz w:val="24"/>
                      <w:szCs w:val="24"/>
                    </w:rPr>
                  </w:pPr>
                </w:p>
              </w:tc>
              <w:tc>
                <w:tcPr>
                  <w:tcW w:w="1701" w:type="dxa"/>
                  <w:tcBorders>
                    <w:top w:val="nil"/>
                    <w:bottom w:val="single" w:sz="4" w:space="0" w:color="auto"/>
                    <w:right w:val="single" w:sz="4" w:space="0" w:color="auto"/>
                  </w:tcBorders>
                  <w:vAlign w:val="center"/>
                </w:tcPr>
                <w:p w:rsidR="00605B4D" w:rsidRPr="000C7AA2" w:rsidRDefault="00605B4D" w:rsidP="00A50B13">
                  <w:pPr>
                    <w:pStyle w:val="NormalWeb"/>
                    <w:jc w:val="center"/>
                    <w:rPr>
                      <w:b/>
                      <w:bCs/>
                    </w:rPr>
                  </w:pPr>
                  <w:r w:rsidRPr="000C7AA2">
                    <w:rPr>
                      <w:b/>
                      <w:bCs/>
                    </w:rPr>
                    <w:t>201</w:t>
                  </w:r>
                  <w:r w:rsidR="00A50B13">
                    <w:rPr>
                      <w:b/>
                      <w:bCs/>
                    </w:rPr>
                    <w:t>6</w:t>
                  </w:r>
                </w:p>
              </w:tc>
              <w:tc>
                <w:tcPr>
                  <w:tcW w:w="1701" w:type="dxa"/>
                  <w:tcBorders>
                    <w:top w:val="nil"/>
                    <w:bottom w:val="single" w:sz="4" w:space="0" w:color="auto"/>
                    <w:right w:val="single" w:sz="4" w:space="0" w:color="auto"/>
                  </w:tcBorders>
                  <w:vAlign w:val="center"/>
                </w:tcPr>
                <w:p w:rsidR="00605B4D" w:rsidRPr="000C7AA2" w:rsidRDefault="00605B4D" w:rsidP="00A50B13">
                  <w:pPr>
                    <w:pStyle w:val="NormalWeb"/>
                    <w:jc w:val="center"/>
                    <w:rPr>
                      <w:b/>
                      <w:bCs/>
                    </w:rPr>
                  </w:pPr>
                  <w:r w:rsidRPr="000C7AA2">
                    <w:rPr>
                      <w:b/>
                      <w:bCs/>
                    </w:rPr>
                    <w:t>201</w:t>
                  </w:r>
                  <w:r w:rsidR="00A50B13">
                    <w:rPr>
                      <w:b/>
                      <w:bCs/>
                    </w:rPr>
                    <w:t>7</w:t>
                  </w:r>
                </w:p>
              </w:tc>
              <w:tc>
                <w:tcPr>
                  <w:tcW w:w="1445" w:type="dxa"/>
                  <w:tcBorders>
                    <w:top w:val="nil"/>
                    <w:bottom w:val="single" w:sz="4" w:space="0" w:color="auto"/>
                    <w:right w:val="nil"/>
                  </w:tcBorders>
                  <w:vAlign w:val="center"/>
                </w:tcPr>
                <w:p w:rsidR="00605B4D" w:rsidRPr="000C7AA2" w:rsidRDefault="00605B4D" w:rsidP="00A50B13">
                  <w:pPr>
                    <w:pStyle w:val="NormalWeb"/>
                    <w:jc w:val="center"/>
                    <w:rPr>
                      <w:b/>
                      <w:bCs/>
                    </w:rPr>
                  </w:pPr>
                  <w:r w:rsidRPr="000C7AA2">
                    <w:rPr>
                      <w:b/>
                      <w:bCs/>
                    </w:rPr>
                    <w:t>201</w:t>
                  </w:r>
                  <w:r w:rsidR="00A50B13">
                    <w:rPr>
                      <w:b/>
                      <w:bCs/>
                    </w:rPr>
                    <w:t>8</w:t>
                  </w:r>
                </w:p>
              </w:tc>
            </w:tr>
            <w:tr w:rsidR="00605B4D" w:rsidRPr="000C7AA2" w:rsidTr="00605B4D">
              <w:trPr>
                <w:tblCellSpacing w:w="15" w:type="dxa"/>
              </w:trPr>
              <w:tc>
                <w:tcPr>
                  <w:tcW w:w="1664" w:type="dxa"/>
                  <w:vMerge/>
                  <w:tcBorders>
                    <w:top w:val="single" w:sz="4" w:space="0" w:color="auto"/>
                    <w:left w:val="nil"/>
                    <w:bottom w:val="single" w:sz="4" w:space="0" w:color="auto"/>
                    <w:right w:val="single" w:sz="4" w:space="0" w:color="auto"/>
                  </w:tcBorders>
                  <w:vAlign w:val="center"/>
                </w:tcPr>
                <w:p w:rsidR="00605B4D" w:rsidRPr="000C7AA2" w:rsidRDefault="00605B4D" w:rsidP="00FA6C73">
                  <w:pPr>
                    <w:rPr>
                      <w:rFonts w:ascii="Times New Roman" w:eastAsia="Times New Roman" w:hAnsi="Times New Roman" w:cs="Times New Roman"/>
                      <w:b/>
                      <w:bCs/>
                      <w:sz w:val="24"/>
                      <w:szCs w:val="24"/>
                    </w:rPr>
                  </w:pPr>
                </w:p>
              </w:tc>
              <w:tc>
                <w:tcPr>
                  <w:tcW w:w="1146" w:type="dxa"/>
                  <w:tcBorders>
                    <w:top w:val="nil"/>
                    <w:bottom w:val="single" w:sz="4" w:space="0" w:color="auto"/>
                    <w:right w:val="single" w:sz="4" w:space="0" w:color="auto"/>
                  </w:tcBorders>
                  <w:vAlign w:val="center"/>
                </w:tcPr>
                <w:p w:rsidR="00605B4D" w:rsidRPr="000C7AA2" w:rsidRDefault="00605B4D" w:rsidP="00FA6C73">
                  <w:pPr>
                    <w:pStyle w:val="NormalWeb"/>
                    <w:jc w:val="center"/>
                  </w:pPr>
                  <w:r w:rsidRPr="000C7AA2">
                    <w:t>Saskaņā ar valsts budžetu kārtējam gadam</w:t>
                  </w:r>
                </w:p>
              </w:tc>
              <w:tc>
                <w:tcPr>
                  <w:tcW w:w="1484" w:type="dxa"/>
                  <w:tcBorders>
                    <w:top w:val="nil"/>
                    <w:bottom w:val="single" w:sz="4" w:space="0" w:color="auto"/>
                    <w:right w:val="single" w:sz="4" w:space="0" w:color="auto"/>
                  </w:tcBorders>
                  <w:vAlign w:val="center"/>
                </w:tcPr>
                <w:p w:rsidR="00605B4D" w:rsidRPr="000C7AA2" w:rsidRDefault="00605B4D" w:rsidP="00FA6C73">
                  <w:pPr>
                    <w:pStyle w:val="NormalWeb"/>
                    <w:jc w:val="center"/>
                  </w:pPr>
                  <w:r w:rsidRPr="000C7AA2">
                    <w:t>Izmaiņas kārtējā gadā, salīdzinot ar budžetu kārtējam gadam</w:t>
                  </w:r>
                </w:p>
              </w:tc>
              <w:tc>
                <w:tcPr>
                  <w:tcW w:w="1701" w:type="dxa"/>
                  <w:tcBorders>
                    <w:top w:val="nil"/>
                    <w:bottom w:val="single" w:sz="4" w:space="0" w:color="auto"/>
                    <w:right w:val="single" w:sz="4" w:space="0" w:color="auto"/>
                  </w:tcBorders>
                  <w:vAlign w:val="center"/>
                </w:tcPr>
                <w:p w:rsidR="00605B4D" w:rsidRPr="000C7AA2" w:rsidRDefault="00605B4D" w:rsidP="00A50B13">
                  <w:pPr>
                    <w:pStyle w:val="NormalWeb"/>
                    <w:jc w:val="center"/>
                  </w:pPr>
                  <w:r w:rsidRPr="000C7AA2">
                    <w:t>Izmaiņas, salīdzinot ar kārtējo (201</w:t>
                  </w:r>
                  <w:r w:rsidR="00A50B13">
                    <w:t>5</w:t>
                  </w:r>
                  <w:r w:rsidRPr="000C7AA2">
                    <w:t>) gadu</w:t>
                  </w:r>
                </w:p>
              </w:tc>
              <w:tc>
                <w:tcPr>
                  <w:tcW w:w="1701" w:type="dxa"/>
                  <w:tcBorders>
                    <w:top w:val="nil"/>
                    <w:bottom w:val="single" w:sz="4" w:space="0" w:color="auto"/>
                    <w:right w:val="single" w:sz="4" w:space="0" w:color="auto"/>
                  </w:tcBorders>
                  <w:vAlign w:val="center"/>
                </w:tcPr>
                <w:p w:rsidR="00605B4D" w:rsidRPr="000C7AA2" w:rsidRDefault="00605B4D" w:rsidP="00A50B13">
                  <w:pPr>
                    <w:pStyle w:val="NormalWeb"/>
                    <w:jc w:val="center"/>
                  </w:pPr>
                  <w:r w:rsidRPr="000C7AA2">
                    <w:t>Izmaiņas, salīdzinot ar kārtējo (201</w:t>
                  </w:r>
                  <w:r w:rsidR="00A50B13">
                    <w:t>5</w:t>
                  </w:r>
                  <w:r w:rsidRPr="000C7AA2">
                    <w:t>) gadu</w:t>
                  </w:r>
                </w:p>
              </w:tc>
              <w:tc>
                <w:tcPr>
                  <w:tcW w:w="1445" w:type="dxa"/>
                  <w:tcBorders>
                    <w:top w:val="nil"/>
                    <w:bottom w:val="single" w:sz="4" w:space="0" w:color="auto"/>
                    <w:right w:val="nil"/>
                  </w:tcBorders>
                  <w:vAlign w:val="center"/>
                </w:tcPr>
                <w:p w:rsidR="00605B4D" w:rsidRPr="000C7AA2" w:rsidRDefault="00605B4D" w:rsidP="00A50B13">
                  <w:pPr>
                    <w:pStyle w:val="NormalWeb"/>
                    <w:jc w:val="center"/>
                  </w:pPr>
                  <w:r w:rsidRPr="000C7AA2">
                    <w:t>Izmaiņas, salīdzinot ar kārtējo (201</w:t>
                  </w:r>
                  <w:r w:rsidR="00A50B13">
                    <w:t>5</w:t>
                  </w:r>
                  <w:r w:rsidRPr="000C7AA2">
                    <w:t>) gadu</w:t>
                  </w:r>
                </w:p>
              </w:tc>
            </w:tr>
            <w:tr w:rsidR="00605B4D" w:rsidRPr="000C7AA2" w:rsidTr="00605B4D">
              <w:trPr>
                <w:tblCellSpacing w:w="15" w:type="dxa"/>
              </w:trPr>
              <w:tc>
                <w:tcPr>
                  <w:tcW w:w="1664" w:type="dxa"/>
                  <w:tcBorders>
                    <w:top w:val="nil"/>
                    <w:left w:val="nil"/>
                    <w:bottom w:val="nil"/>
                    <w:right w:val="single" w:sz="4" w:space="0" w:color="auto"/>
                  </w:tcBorders>
                  <w:vAlign w:val="center"/>
                </w:tcPr>
                <w:p w:rsidR="00605B4D" w:rsidRPr="000C7AA2" w:rsidRDefault="00605B4D" w:rsidP="00FA6C73">
                  <w:pPr>
                    <w:pStyle w:val="NormalWeb"/>
                    <w:jc w:val="center"/>
                  </w:pPr>
                  <w:r w:rsidRPr="000C7AA2">
                    <w:t>1</w:t>
                  </w:r>
                </w:p>
              </w:tc>
              <w:tc>
                <w:tcPr>
                  <w:tcW w:w="1146" w:type="dxa"/>
                  <w:tcBorders>
                    <w:top w:val="nil"/>
                    <w:bottom w:val="nil"/>
                    <w:right w:val="single" w:sz="4" w:space="0" w:color="auto"/>
                  </w:tcBorders>
                  <w:vAlign w:val="center"/>
                </w:tcPr>
                <w:p w:rsidR="00605B4D" w:rsidRPr="000C7AA2" w:rsidRDefault="00605B4D" w:rsidP="00FA6C73">
                  <w:pPr>
                    <w:pStyle w:val="NormalWeb"/>
                    <w:jc w:val="center"/>
                  </w:pPr>
                  <w:r w:rsidRPr="000C7AA2">
                    <w:t>2</w:t>
                  </w:r>
                </w:p>
              </w:tc>
              <w:tc>
                <w:tcPr>
                  <w:tcW w:w="1484" w:type="dxa"/>
                  <w:tcBorders>
                    <w:top w:val="nil"/>
                    <w:bottom w:val="nil"/>
                    <w:right w:val="single" w:sz="4" w:space="0" w:color="auto"/>
                  </w:tcBorders>
                  <w:vAlign w:val="center"/>
                </w:tcPr>
                <w:p w:rsidR="00605B4D" w:rsidRPr="000C7AA2" w:rsidRDefault="00605B4D" w:rsidP="00FA6C73">
                  <w:pPr>
                    <w:pStyle w:val="NormalWeb"/>
                    <w:jc w:val="center"/>
                  </w:pPr>
                  <w:r w:rsidRPr="000C7AA2">
                    <w:t>3</w:t>
                  </w:r>
                </w:p>
              </w:tc>
              <w:tc>
                <w:tcPr>
                  <w:tcW w:w="1701" w:type="dxa"/>
                  <w:tcBorders>
                    <w:top w:val="nil"/>
                    <w:bottom w:val="nil"/>
                    <w:right w:val="single" w:sz="4" w:space="0" w:color="auto"/>
                  </w:tcBorders>
                  <w:vAlign w:val="center"/>
                </w:tcPr>
                <w:p w:rsidR="00605B4D" w:rsidRPr="000C7AA2" w:rsidRDefault="00605B4D" w:rsidP="00FA6C73">
                  <w:pPr>
                    <w:pStyle w:val="NormalWeb"/>
                    <w:jc w:val="center"/>
                  </w:pPr>
                  <w:r w:rsidRPr="000C7AA2">
                    <w:t>4</w:t>
                  </w:r>
                </w:p>
              </w:tc>
              <w:tc>
                <w:tcPr>
                  <w:tcW w:w="1701" w:type="dxa"/>
                  <w:tcBorders>
                    <w:top w:val="nil"/>
                    <w:bottom w:val="nil"/>
                    <w:right w:val="single" w:sz="4" w:space="0" w:color="auto"/>
                  </w:tcBorders>
                  <w:vAlign w:val="center"/>
                </w:tcPr>
                <w:p w:rsidR="00605B4D" w:rsidRPr="000C7AA2" w:rsidRDefault="00605B4D" w:rsidP="00FA6C73">
                  <w:pPr>
                    <w:pStyle w:val="NormalWeb"/>
                    <w:jc w:val="center"/>
                  </w:pPr>
                  <w:r w:rsidRPr="000C7AA2">
                    <w:t>5</w:t>
                  </w:r>
                </w:p>
              </w:tc>
              <w:tc>
                <w:tcPr>
                  <w:tcW w:w="1445" w:type="dxa"/>
                  <w:tcBorders>
                    <w:top w:val="nil"/>
                    <w:bottom w:val="nil"/>
                    <w:right w:val="nil"/>
                  </w:tcBorders>
                  <w:vAlign w:val="center"/>
                </w:tcPr>
                <w:p w:rsidR="00605B4D" w:rsidRPr="000C7AA2" w:rsidRDefault="00605B4D" w:rsidP="00FA6C73">
                  <w:pPr>
                    <w:pStyle w:val="NormalWeb"/>
                    <w:jc w:val="center"/>
                  </w:pPr>
                  <w:r w:rsidRPr="000C7AA2">
                    <w:t>6</w:t>
                  </w:r>
                </w:p>
              </w:tc>
            </w:tr>
            <w:tr w:rsidR="00605B4D" w:rsidRPr="000C7AA2" w:rsidTr="00605B4D">
              <w:trPr>
                <w:tblCellSpacing w:w="15" w:type="dxa"/>
              </w:trPr>
              <w:tc>
                <w:tcPr>
                  <w:tcW w:w="1664" w:type="dxa"/>
                  <w:tcBorders>
                    <w:top w:val="single" w:sz="4" w:space="0" w:color="auto"/>
                    <w:left w:val="nil"/>
                    <w:bottom w:val="single" w:sz="4" w:space="0" w:color="auto"/>
                    <w:right w:val="single" w:sz="4" w:space="0" w:color="auto"/>
                  </w:tcBorders>
                </w:tcPr>
                <w:p w:rsidR="00605B4D" w:rsidRPr="000C7AA2" w:rsidRDefault="00605B4D" w:rsidP="00FA6C73">
                  <w:pPr>
                    <w:pStyle w:val="NormalWeb"/>
                  </w:pPr>
                  <w:r w:rsidRPr="000C7AA2">
                    <w:t>1. Budžeta ieņēmumi:</w:t>
                  </w:r>
                </w:p>
              </w:tc>
              <w:tc>
                <w:tcPr>
                  <w:tcW w:w="1146" w:type="dxa"/>
                  <w:tcBorders>
                    <w:top w:val="single" w:sz="4" w:space="0" w:color="auto"/>
                    <w:bottom w:val="single" w:sz="4" w:space="0" w:color="auto"/>
                    <w:right w:val="single" w:sz="4" w:space="0" w:color="auto"/>
                  </w:tcBorders>
                </w:tcPr>
                <w:p w:rsidR="00605B4D" w:rsidRPr="000C7AA2" w:rsidRDefault="00A50B13" w:rsidP="00A50B13">
                  <w:pPr>
                    <w:rPr>
                      <w:rFonts w:ascii="Times New Roman" w:eastAsia="Times New Roman" w:hAnsi="Times New Roman" w:cs="Times New Roman"/>
                      <w:sz w:val="24"/>
                      <w:szCs w:val="24"/>
                    </w:rPr>
                  </w:pPr>
                  <w:r>
                    <w:rPr>
                      <w:rFonts w:ascii="Times New Roman" w:eastAsia="Times New Roman" w:hAnsi="Times New Roman" w:cs="Times New Roman"/>
                      <w:sz w:val="24"/>
                      <w:szCs w:val="24"/>
                    </w:rPr>
                    <w:t>24 885</w:t>
                  </w:r>
                </w:p>
              </w:tc>
              <w:tc>
                <w:tcPr>
                  <w:tcW w:w="1484" w:type="dxa"/>
                  <w:tcBorders>
                    <w:top w:val="single" w:sz="4" w:space="0" w:color="auto"/>
                    <w:bottom w:val="single" w:sz="4" w:space="0" w:color="auto"/>
                    <w:right w:val="single" w:sz="4" w:space="0" w:color="auto"/>
                  </w:tcBorders>
                </w:tcPr>
                <w:p w:rsidR="00605B4D" w:rsidRPr="000C7AA2" w:rsidRDefault="00605B4D"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bottom w:val="single" w:sz="4" w:space="0" w:color="auto"/>
                    <w:right w:val="single" w:sz="4" w:space="0" w:color="auto"/>
                  </w:tcBorders>
                </w:tcPr>
                <w:p w:rsidR="00605B4D" w:rsidRPr="000C7AA2" w:rsidRDefault="00605B4D"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bottom w:val="single" w:sz="4" w:space="0" w:color="auto"/>
                    <w:right w:val="single" w:sz="4" w:space="0" w:color="auto"/>
                  </w:tcBorders>
                </w:tcPr>
                <w:p w:rsidR="00605B4D" w:rsidRPr="000C7AA2" w:rsidRDefault="00605B4D"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single" w:sz="4" w:space="0" w:color="auto"/>
                    <w:bottom w:val="single" w:sz="4" w:space="0" w:color="auto"/>
                    <w:right w:val="nil"/>
                  </w:tcBorders>
                </w:tcPr>
                <w:p w:rsidR="00605B4D" w:rsidRPr="000C7AA2" w:rsidRDefault="00605B4D"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1.1. valsts pamatbudžets, tai skaitā ieņēmumi no maksas pakalpojumiem un citi pašu ieņēmumi</w:t>
                  </w:r>
                </w:p>
              </w:tc>
              <w:tc>
                <w:tcPr>
                  <w:tcW w:w="1146" w:type="dxa"/>
                  <w:tcBorders>
                    <w:top w:val="nil"/>
                    <w:bottom w:val="single" w:sz="4" w:space="0" w:color="auto"/>
                    <w:right w:val="single" w:sz="4" w:space="0" w:color="auto"/>
                  </w:tcBorders>
                </w:tcPr>
                <w:p w:rsidR="00A50B13" w:rsidRPr="000C7AA2" w:rsidRDefault="00A50B13" w:rsidP="00AB77A4">
                  <w:pPr>
                    <w:rPr>
                      <w:rFonts w:ascii="Times New Roman" w:eastAsia="Times New Roman" w:hAnsi="Times New Roman" w:cs="Times New Roman"/>
                      <w:sz w:val="24"/>
                      <w:szCs w:val="24"/>
                    </w:rPr>
                  </w:pPr>
                  <w:r>
                    <w:rPr>
                      <w:rFonts w:ascii="Times New Roman" w:eastAsia="Times New Roman" w:hAnsi="Times New Roman" w:cs="Times New Roman"/>
                      <w:sz w:val="24"/>
                      <w:szCs w:val="24"/>
                    </w:rPr>
                    <w:t>24 885</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1.2. valsts speciālais 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1.3. pašvaldību 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2. Budžeta izdevumi:</w:t>
                  </w:r>
                </w:p>
              </w:tc>
              <w:tc>
                <w:tcPr>
                  <w:tcW w:w="1146" w:type="dxa"/>
                  <w:tcBorders>
                    <w:top w:val="nil"/>
                    <w:bottom w:val="single" w:sz="4" w:space="0" w:color="auto"/>
                    <w:right w:val="single" w:sz="4" w:space="0" w:color="auto"/>
                  </w:tcBorders>
                </w:tcPr>
                <w:p w:rsidR="00A50B13" w:rsidRPr="000C7AA2" w:rsidRDefault="00A50B13" w:rsidP="00AB77A4">
                  <w:pPr>
                    <w:rPr>
                      <w:rFonts w:ascii="Times New Roman" w:eastAsia="Times New Roman" w:hAnsi="Times New Roman" w:cs="Times New Roman"/>
                      <w:sz w:val="24"/>
                      <w:szCs w:val="24"/>
                    </w:rPr>
                  </w:pPr>
                  <w:r>
                    <w:rPr>
                      <w:rFonts w:ascii="Times New Roman" w:eastAsia="Times New Roman" w:hAnsi="Times New Roman" w:cs="Times New Roman"/>
                      <w:sz w:val="24"/>
                      <w:szCs w:val="24"/>
                    </w:rPr>
                    <w:t>24 885</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highlight w:val="yellow"/>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2.1. valsts pamatbudžets</w:t>
                  </w:r>
                </w:p>
              </w:tc>
              <w:tc>
                <w:tcPr>
                  <w:tcW w:w="1146" w:type="dxa"/>
                  <w:tcBorders>
                    <w:top w:val="nil"/>
                    <w:bottom w:val="single" w:sz="4" w:space="0" w:color="auto"/>
                    <w:right w:val="single" w:sz="4" w:space="0" w:color="auto"/>
                  </w:tcBorders>
                </w:tcPr>
                <w:p w:rsidR="00A50B13" w:rsidRPr="000C7AA2" w:rsidRDefault="00A50B13" w:rsidP="00AB77A4">
                  <w:pPr>
                    <w:rPr>
                      <w:rFonts w:ascii="Times New Roman" w:eastAsia="Times New Roman" w:hAnsi="Times New Roman" w:cs="Times New Roman"/>
                      <w:sz w:val="24"/>
                      <w:szCs w:val="24"/>
                    </w:rPr>
                  </w:pPr>
                  <w:r>
                    <w:rPr>
                      <w:rFonts w:ascii="Times New Roman" w:eastAsia="Times New Roman" w:hAnsi="Times New Roman" w:cs="Times New Roman"/>
                      <w:sz w:val="24"/>
                      <w:szCs w:val="24"/>
                    </w:rPr>
                    <w:t>24 885</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2.2. valsts speciālais 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2.3. pašvaldību 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3. Finansiālā ietekme:</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lastRenderedPageBreak/>
                    <w:t>3.1. valsts pamatbudžets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3.2. speciālais 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nil"/>
                    <w:left w:val="nil"/>
                    <w:bottom w:val="single" w:sz="4" w:space="0" w:color="auto"/>
                    <w:right w:val="single" w:sz="4" w:space="0" w:color="auto"/>
                  </w:tcBorders>
                </w:tcPr>
                <w:p w:rsidR="00A50B13" w:rsidRPr="000C7AA2" w:rsidRDefault="00A50B13" w:rsidP="00FA6C73">
                  <w:pPr>
                    <w:pStyle w:val="NormalWeb"/>
                  </w:pPr>
                  <w:r w:rsidRPr="000C7AA2">
                    <w:t>3.3. pašvaldību budžets</w:t>
                  </w:r>
                </w:p>
              </w:tc>
              <w:tc>
                <w:tcPr>
                  <w:tcW w:w="1146"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84"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vMerge w:val="restart"/>
                  <w:tcBorders>
                    <w:top w:val="nil"/>
                    <w:left w:val="nil"/>
                    <w:bottom w:val="single" w:sz="4" w:space="0" w:color="auto"/>
                    <w:right w:val="single" w:sz="4" w:space="0" w:color="auto"/>
                  </w:tcBorders>
                </w:tcPr>
                <w:p w:rsidR="00A50B13" w:rsidRPr="000C7AA2" w:rsidRDefault="00A50B13" w:rsidP="00FA6C73">
                  <w:pPr>
                    <w:pStyle w:val="NormalWeb"/>
                  </w:pPr>
                  <w:r w:rsidRPr="000C7AA2">
                    <w:t>4. Finanšu līdzekļi papildu izdevumu finansēšanai (kompensējošu izdevumu samazinājumu norāda ar "+" zīmi)</w:t>
                  </w:r>
                </w:p>
              </w:tc>
              <w:tc>
                <w:tcPr>
                  <w:tcW w:w="1146" w:type="dxa"/>
                  <w:vMerge w:val="restart"/>
                  <w:tcBorders>
                    <w:top w:val="nil"/>
                    <w:bottom w:val="single" w:sz="4" w:space="0" w:color="auto"/>
                    <w:right w:val="single" w:sz="4" w:space="0" w:color="auto"/>
                  </w:tcBorders>
                </w:tcPr>
                <w:p w:rsidR="00A50B13" w:rsidRPr="000C7AA2" w:rsidRDefault="00A50B13" w:rsidP="00FA6C73">
                  <w:pPr>
                    <w:pStyle w:val="NormalWeb"/>
                    <w:jc w:val="center"/>
                  </w:pPr>
                  <w:r w:rsidRPr="000C7AA2">
                    <w:t>X</w:t>
                  </w:r>
                </w:p>
              </w:tc>
              <w:tc>
                <w:tcPr>
                  <w:tcW w:w="1484" w:type="dxa"/>
                  <w:tcBorders>
                    <w:top w:val="nil"/>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nil"/>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nil"/>
                    <w:bottom w:val="nil"/>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vMerge/>
                  <w:tcBorders>
                    <w:top w:val="nil"/>
                    <w:left w:val="nil"/>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146" w:type="dxa"/>
                  <w:vMerge/>
                  <w:tcBorders>
                    <w:top w:val="nil"/>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484" w:type="dxa"/>
                  <w:tcBorders>
                    <w:top w:val="nil"/>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c>
                <w:tcPr>
                  <w:tcW w:w="1701" w:type="dxa"/>
                  <w:tcBorders>
                    <w:top w:val="nil"/>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c>
                <w:tcPr>
                  <w:tcW w:w="1701" w:type="dxa"/>
                  <w:tcBorders>
                    <w:top w:val="nil"/>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c>
                <w:tcPr>
                  <w:tcW w:w="1445" w:type="dxa"/>
                  <w:tcBorders>
                    <w:top w:val="nil"/>
                    <w:bottom w:val="nil"/>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r>
            <w:tr w:rsidR="00A50B13" w:rsidRPr="000C7AA2" w:rsidTr="00605B4D">
              <w:trPr>
                <w:tblCellSpacing w:w="15" w:type="dxa"/>
              </w:trPr>
              <w:tc>
                <w:tcPr>
                  <w:tcW w:w="1664" w:type="dxa"/>
                  <w:vMerge/>
                  <w:tcBorders>
                    <w:top w:val="nil"/>
                    <w:left w:val="nil"/>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146" w:type="dxa"/>
                  <w:vMerge/>
                  <w:tcBorders>
                    <w:top w:val="nil"/>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484" w:type="dxa"/>
                  <w:tcBorders>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c>
                <w:tcPr>
                  <w:tcW w:w="1701" w:type="dxa"/>
                  <w:tcBorders>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c>
                <w:tcPr>
                  <w:tcW w:w="1701" w:type="dxa"/>
                  <w:tcBorders>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c>
                <w:tcPr>
                  <w:tcW w:w="1445" w:type="dxa"/>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w:t>
                  </w:r>
                </w:p>
              </w:tc>
            </w:tr>
            <w:tr w:rsidR="00A50B13" w:rsidRPr="000C7AA2" w:rsidTr="00605B4D">
              <w:trPr>
                <w:tblCellSpacing w:w="15" w:type="dxa"/>
              </w:trPr>
              <w:tc>
                <w:tcPr>
                  <w:tcW w:w="1664" w:type="dxa"/>
                  <w:tcBorders>
                    <w:top w:val="single" w:sz="4" w:space="0" w:color="auto"/>
                    <w:left w:val="nil"/>
                    <w:bottom w:val="nil"/>
                    <w:right w:val="single" w:sz="4" w:space="0" w:color="auto"/>
                  </w:tcBorders>
                </w:tcPr>
                <w:p w:rsidR="00A50B13" w:rsidRPr="000C7AA2" w:rsidRDefault="00A50B13" w:rsidP="00FA6C73">
                  <w:pPr>
                    <w:pStyle w:val="NormalWeb"/>
                  </w:pPr>
                  <w:r w:rsidRPr="000C7AA2">
                    <w:t>5. Precizēta finansiālā ietekme:</w:t>
                  </w:r>
                </w:p>
              </w:tc>
              <w:tc>
                <w:tcPr>
                  <w:tcW w:w="1146" w:type="dxa"/>
                  <w:vMerge w:val="restart"/>
                  <w:tcBorders>
                    <w:top w:val="single" w:sz="4" w:space="0" w:color="auto"/>
                    <w:bottom w:val="nil"/>
                    <w:right w:val="single" w:sz="4" w:space="0" w:color="auto"/>
                  </w:tcBorders>
                </w:tcPr>
                <w:p w:rsidR="00A50B13" w:rsidRPr="000C7AA2" w:rsidRDefault="00A50B13" w:rsidP="00FA6C73">
                  <w:pPr>
                    <w:pStyle w:val="NormalWeb"/>
                    <w:jc w:val="center"/>
                  </w:pPr>
                  <w:r w:rsidRPr="000C7AA2">
                    <w:t>X</w:t>
                  </w:r>
                </w:p>
              </w:tc>
              <w:tc>
                <w:tcPr>
                  <w:tcW w:w="1484" w:type="dxa"/>
                  <w:tcBorders>
                    <w:top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single" w:sz="4" w:space="0" w:color="auto"/>
                    <w:left w:val="nil"/>
                    <w:bottom w:val="nil"/>
                    <w:right w:val="single" w:sz="4" w:space="0" w:color="auto"/>
                  </w:tcBorders>
                </w:tcPr>
                <w:p w:rsidR="00A50B13" w:rsidRPr="000C7AA2" w:rsidRDefault="00A50B13" w:rsidP="00FA6C73">
                  <w:pPr>
                    <w:pStyle w:val="NormalWeb"/>
                  </w:pPr>
                  <w:r w:rsidRPr="000C7AA2">
                    <w:t>5.1. valsts pamatbudžets</w:t>
                  </w:r>
                </w:p>
              </w:tc>
              <w:tc>
                <w:tcPr>
                  <w:tcW w:w="1146" w:type="dxa"/>
                  <w:vMerge/>
                  <w:tcBorders>
                    <w:top w:val="single" w:sz="4" w:space="0" w:color="auto"/>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484" w:type="dxa"/>
                  <w:tcBorders>
                    <w:top w:val="single" w:sz="4" w:space="0" w:color="auto"/>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single" w:sz="4" w:space="0" w:color="auto"/>
                    <w:bottom w:val="nil"/>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single" w:sz="4" w:space="0" w:color="auto"/>
                    <w:left w:val="nil"/>
                    <w:bottom w:val="nil"/>
                    <w:right w:val="single" w:sz="4" w:space="0" w:color="auto"/>
                  </w:tcBorders>
                </w:tcPr>
                <w:p w:rsidR="00A50B13" w:rsidRPr="000C7AA2" w:rsidRDefault="00A50B13" w:rsidP="00FA6C73">
                  <w:pPr>
                    <w:pStyle w:val="NormalWeb"/>
                  </w:pPr>
                  <w:r w:rsidRPr="000C7AA2">
                    <w:t>5.2. speciālais budžets</w:t>
                  </w:r>
                </w:p>
              </w:tc>
              <w:tc>
                <w:tcPr>
                  <w:tcW w:w="1146" w:type="dxa"/>
                  <w:vMerge/>
                  <w:tcBorders>
                    <w:top w:val="single" w:sz="4" w:space="0" w:color="auto"/>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484" w:type="dxa"/>
                  <w:tcBorders>
                    <w:top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r w:rsidR="00A50B13" w:rsidRPr="000C7AA2" w:rsidTr="00605B4D">
              <w:trPr>
                <w:tblCellSpacing w:w="15" w:type="dxa"/>
              </w:trPr>
              <w:tc>
                <w:tcPr>
                  <w:tcW w:w="1664" w:type="dxa"/>
                  <w:tcBorders>
                    <w:top w:val="single" w:sz="4" w:space="0" w:color="auto"/>
                    <w:left w:val="nil"/>
                    <w:bottom w:val="nil"/>
                    <w:right w:val="single" w:sz="4" w:space="0" w:color="auto"/>
                  </w:tcBorders>
                </w:tcPr>
                <w:p w:rsidR="00A50B13" w:rsidRPr="000C7AA2" w:rsidRDefault="00A50B13" w:rsidP="00FA6C73">
                  <w:pPr>
                    <w:pStyle w:val="NormalWeb"/>
                  </w:pPr>
                  <w:r w:rsidRPr="000C7AA2">
                    <w:t>5.3. pašvaldību budžets</w:t>
                  </w:r>
                </w:p>
              </w:tc>
              <w:tc>
                <w:tcPr>
                  <w:tcW w:w="1146" w:type="dxa"/>
                  <w:vMerge/>
                  <w:tcBorders>
                    <w:top w:val="single" w:sz="4" w:space="0" w:color="auto"/>
                    <w:bottom w:val="nil"/>
                    <w:right w:val="single" w:sz="4" w:space="0" w:color="auto"/>
                  </w:tcBorders>
                  <w:vAlign w:val="center"/>
                </w:tcPr>
                <w:p w:rsidR="00A50B13" w:rsidRPr="000C7AA2" w:rsidRDefault="00A50B13" w:rsidP="00FA6C73">
                  <w:pPr>
                    <w:rPr>
                      <w:rFonts w:ascii="Times New Roman" w:eastAsia="Times New Roman" w:hAnsi="Times New Roman" w:cs="Times New Roman"/>
                      <w:sz w:val="24"/>
                      <w:szCs w:val="24"/>
                    </w:rPr>
                  </w:pPr>
                </w:p>
              </w:tc>
              <w:tc>
                <w:tcPr>
                  <w:tcW w:w="1484" w:type="dxa"/>
                  <w:tcBorders>
                    <w:top w:val="single" w:sz="4" w:space="0" w:color="auto"/>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701" w:type="dxa"/>
                  <w:tcBorders>
                    <w:top w:val="single" w:sz="4" w:space="0" w:color="auto"/>
                    <w:bottom w:val="nil"/>
                    <w:right w:val="single" w:sz="4" w:space="0" w:color="auto"/>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c>
                <w:tcPr>
                  <w:tcW w:w="1445" w:type="dxa"/>
                  <w:tcBorders>
                    <w:top w:val="single" w:sz="4" w:space="0" w:color="auto"/>
                    <w:bottom w:val="nil"/>
                  </w:tcBorders>
                </w:tcPr>
                <w:p w:rsidR="00A50B13" w:rsidRPr="000C7AA2" w:rsidRDefault="00A50B13"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0 </w:t>
                  </w:r>
                </w:p>
              </w:tc>
            </w:tr>
          </w:tbl>
          <w:p w:rsidR="00605B4D" w:rsidRPr="000C7AA2" w:rsidRDefault="00605B4D" w:rsidP="00605B4D">
            <w:pPr>
              <w:rPr>
                <w:rFonts w:ascii="Times New Roman" w:eastAsia="Times New Roman" w:hAnsi="Times New Roman" w:cs="Times New Roman"/>
                <w:sz w:val="24"/>
                <w:szCs w:val="24"/>
              </w:rPr>
            </w:pPr>
          </w:p>
          <w:tbl>
            <w:tblPr>
              <w:tblW w:w="9454"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328"/>
              <w:gridCol w:w="8126"/>
            </w:tblGrid>
            <w:tr w:rsidR="00605B4D" w:rsidRPr="000C7AA2" w:rsidTr="00154D0E">
              <w:trPr>
                <w:trHeight w:val="1058"/>
                <w:tblCellSpacing w:w="15" w:type="dxa"/>
              </w:trPr>
              <w:tc>
                <w:tcPr>
                  <w:tcW w:w="4968" w:type="pct"/>
                  <w:gridSpan w:val="2"/>
                  <w:tcBorders>
                    <w:top w:val="outset" w:sz="6" w:space="0" w:color="auto"/>
                    <w:left w:val="outset" w:sz="6" w:space="0" w:color="auto"/>
                    <w:bottom w:val="outset" w:sz="6" w:space="0" w:color="auto"/>
                    <w:right w:val="outset" w:sz="6" w:space="0" w:color="auto"/>
                  </w:tcBorders>
                </w:tcPr>
                <w:p w:rsidR="00605B4D" w:rsidRPr="000C7AA2" w:rsidRDefault="00605B4D" w:rsidP="00FA6C73">
                  <w:pP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6. Detalizēts ieņēmumu un izdevumu aprēķins (ja nepieciešams, detalizētu ieņēmumu un izdevumu aprēķinu var pievienot anotācijas pielikumā):</w:t>
                  </w:r>
                </w:p>
              </w:tc>
            </w:tr>
            <w:tr w:rsidR="00605B4D" w:rsidRPr="000C7AA2" w:rsidTr="00154D0E">
              <w:trPr>
                <w:trHeight w:val="142"/>
                <w:tblCellSpacing w:w="15" w:type="dxa"/>
              </w:trPr>
              <w:tc>
                <w:tcPr>
                  <w:tcW w:w="681" w:type="pct"/>
                  <w:tcBorders>
                    <w:top w:val="outset" w:sz="6" w:space="0" w:color="auto"/>
                    <w:left w:val="outset" w:sz="6" w:space="0" w:color="auto"/>
                    <w:bottom w:val="outset" w:sz="6" w:space="0" w:color="auto"/>
                    <w:right w:val="outset" w:sz="6" w:space="0" w:color="auto"/>
                  </w:tcBorders>
                </w:tcPr>
                <w:p w:rsidR="00605B4D" w:rsidRPr="000C7AA2" w:rsidRDefault="00605B4D" w:rsidP="00FA6C73">
                  <w:pPr>
                    <w:pStyle w:val="NormalWeb"/>
                  </w:pPr>
                  <w:r w:rsidRPr="000C7AA2">
                    <w:t>6.1. detalizēts ieņēmumu aprēķins</w:t>
                  </w:r>
                </w:p>
              </w:tc>
              <w:tc>
                <w:tcPr>
                  <w:tcW w:w="4272" w:type="pct"/>
                  <w:tcBorders>
                    <w:top w:val="outset" w:sz="6" w:space="0" w:color="auto"/>
                    <w:left w:val="outset" w:sz="6" w:space="0" w:color="auto"/>
                    <w:bottom w:val="outset" w:sz="6" w:space="0" w:color="auto"/>
                    <w:right w:val="outset" w:sz="6" w:space="0" w:color="auto"/>
                  </w:tcBorders>
                  <w:shd w:val="clear" w:color="auto" w:fill="auto"/>
                  <w:vAlign w:val="center"/>
                </w:tcPr>
                <w:p w:rsidR="00605B4D" w:rsidRPr="000C7AA2" w:rsidRDefault="00605B4D" w:rsidP="00FA6C73">
                  <w:pPr>
                    <w:ind w:firstLine="709"/>
                    <w:jc w:val="both"/>
                    <w:rPr>
                      <w:rFonts w:ascii="Times New Roman" w:eastAsia="Times New Roman" w:hAnsi="Times New Roman" w:cs="Times New Roman"/>
                      <w:sz w:val="24"/>
                      <w:szCs w:val="24"/>
                    </w:rPr>
                  </w:pPr>
                </w:p>
                <w:p w:rsidR="00605B4D" w:rsidRPr="000C7AA2" w:rsidRDefault="00605B4D" w:rsidP="00FA6C73">
                  <w:pPr>
                    <w:rPr>
                      <w:rFonts w:ascii="Times New Roman" w:eastAsia="Times New Roman" w:hAnsi="Times New Roman" w:cs="Times New Roman"/>
                      <w:sz w:val="24"/>
                      <w:szCs w:val="24"/>
                    </w:rPr>
                  </w:pPr>
                </w:p>
              </w:tc>
            </w:tr>
            <w:tr w:rsidR="00605B4D" w:rsidRPr="000C7AA2" w:rsidTr="00154D0E">
              <w:trPr>
                <w:trHeight w:val="1093"/>
                <w:tblCellSpacing w:w="15" w:type="dxa"/>
              </w:trPr>
              <w:tc>
                <w:tcPr>
                  <w:tcW w:w="681" w:type="pct"/>
                  <w:tcBorders>
                    <w:top w:val="outset" w:sz="6" w:space="0" w:color="auto"/>
                    <w:left w:val="outset" w:sz="6" w:space="0" w:color="auto"/>
                    <w:bottom w:val="outset" w:sz="6" w:space="0" w:color="auto"/>
                    <w:right w:val="outset" w:sz="6" w:space="0" w:color="auto"/>
                  </w:tcBorders>
                </w:tcPr>
                <w:p w:rsidR="00605B4D" w:rsidRPr="000C7AA2" w:rsidRDefault="00605B4D" w:rsidP="00FA6C73">
                  <w:pPr>
                    <w:pStyle w:val="NormalWeb"/>
                  </w:pPr>
                  <w:r w:rsidRPr="000C7AA2">
                    <w:t>6.2. detalizēts izdevumu aprēķins</w:t>
                  </w:r>
                </w:p>
              </w:tc>
              <w:tc>
                <w:tcPr>
                  <w:tcW w:w="4272" w:type="pct"/>
                  <w:vMerge w:val="restart"/>
                  <w:tcBorders>
                    <w:top w:val="outset" w:sz="6" w:space="0" w:color="auto"/>
                    <w:left w:val="outset" w:sz="6" w:space="0" w:color="auto"/>
                    <w:bottom w:val="outset" w:sz="6" w:space="0" w:color="auto"/>
                    <w:right w:val="outset" w:sz="6" w:space="0" w:color="auto"/>
                  </w:tcBorders>
                  <w:shd w:val="clear" w:color="auto" w:fill="auto"/>
                </w:tcPr>
                <w:p w:rsidR="00605B4D" w:rsidRPr="000C7AA2" w:rsidRDefault="00605B4D" w:rsidP="00FA6C73">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Saskaņā ar</w:t>
                  </w:r>
                  <w:r w:rsidR="00A50B13">
                    <w:rPr>
                      <w:rFonts w:ascii="Times New Roman" w:eastAsia="Times New Roman" w:hAnsi="Times New Roman" w:cs="Times New Roman"/>
                      <w:sz w:val="24"/>
                      <w:szCs w:val="24"/>
                    </w:rPr>
                    <w:t xml:space="preserve"> likumu „Par valsts budžetu 2015</w:t>
                  </w:r>
                  <w:r w:rsidRPr="000C7AA2">
                    <w:rPr>
                      <w:rFonts w:ascii="Times New Roman" w:eastAsia="Times New Roman" w:hAnsi="Times New Roman" w:cs="Times New Roman"/>
                      <w:sz w:val="24"/>
                      <w:szCs w:val="24"/>
                    </w:rPr>
                    <w:t>. gadam” izdevumi bērnu uzturēšanai, kuri kopā ar apcietināto vai notiesāto māti uzturas ieslodzījuma vietā Tieslietu ministrijas 04.00.00 programmas "Kriminālsodu izpilde" 04.01.00 apakšprogrammā "Ieslodzījuma vietas" 201</w:t>
                  </w:r>
                  <w:r w:rsidR="00A50B13">
                    <w:rPr>
                      <w:rFonts w:ascii="Times New Roman" w:eastAsia="Times New Roman" w:hAnsi="Times New Roman" w:cs="Times New Roman"/>
                      <w:sz w:val="24"/>
                      <w:szCs w:val="24"/>
                    </w:rPr>
                    <w:t>5</w:t>
                  </w:r>
                  <w:r w:rsidRPr="000C7AA2">
                    <w:rPr>
                      <w:rFonts w:ascii="Times New Roman" w:eastAsia="Times New Roman" w:hAnsi="Times New Roman" w:cs="Times New Roman"/>
                      <w:sz w:val="24"/>
                      <w:szCs w:val="24"/>
                    </w:rPr>
                    <w:t xml:space="preserve">. gadā paredzēti </w:t>
                  </w:r>
                  <w:r w:rsidR="00A50B13">
                    <w:rPr>
                      <w:rFonts w:ascii="Times New Roman" w:eastAsia="Times New Roman" w:hAnsi="Times New Roman" w:cs="Times New Roman"/>
                      <w:sz w:val="24"/>
                      <w:szCs w:val="24"/>
                    </w:rPr>
                    <w:t>24 885</w:t>
                  </w:r>
                  <w:r w:rsidRPr="000C7AA2">
                    <w:rPr>
                      <w:rFonts w:ascii="Times New Roman" w:eastAsia="Times New Roman" w:hAnsi="Times New Roman" w:cs="Times New Roman"/>
                      <w:sz w:val="24"/>
                      <w:szCs w:val="24"/>
                    </w:rPr>
                    <w:t>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w:t>
                  </w:r>
                </w:p>
                <w:p w:rsidR="00605B4D" w:rsidRPr="000C7AA2" w:rsidRDefault="00A50B13" w:rsidP="00BA72E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Plānotais bērnu skaits 2015</w:t>
                  </w:r>
                  <w:r w:rsidR="00605B4D" w:rsidRPr="000C7AA2">
                    <w:rPr>
                      <w:rFonts w:ascii="Times New Roman" w:eastAsia="Times New Roman" w:hAnsi="Times New Roman" w:cs="Times New Roman"/>
                      <w:sz w:val="24"/>
                      <w:szCs w:val="24"/>
                    </w:rPr>
                    <w:t>. gadā:</w:t>
                  </w:r>
                </w:p>
                <w:p w:rsidR="00BA72ED" w:rsidRPr="000C7AA2" w:rsidRDefault="00605B4D" w:rsidP="00BA72ED">
                  <w:pPr>
                    <w:spacing w:after="0" w:line="240" w:lineRule="auto"/>
                    <w:jc w:val="both"/>
                    <w:rPr>
                      <w:rFonts w:ascii="Times New Roman" w:hAnsi="Times New Roman" w:cs="Times New Roman"/>
                      <w:sz w:val="24"/>
                      <w:szCs w:val="24"/>
                    </w:rPr>
                  </w:pPr>
                  <w:r w:rsidRPr="000C7AA2">
                    <w:rPr>
                      <w:rFonts w:ascii="Times New Roman" w:eastAsia="Times New Roman" w:hAnsi="Times New Roman" w:cs="Times New Roman"/>
                      <w:sz w:val="24"/>
                      <w:szCs w:val="24"/>
                    </w:rPr>
                    <w:t>1 </w:t>
                  </w:r>
                  <w:r w:rsidRPr="000C7AA2">
                    <w:rPr>
                      <w:rFonts w:ascii="Times New Roman" w:eastAsia="Times New Roman" w:hAnsi="Times New Roman" w:cs="Times New Roman"/>
                      <w:i/>
                      <w:sz w:val="24"/>
                      <w:szCs w:val="24"/>
                    </w:rPr>
                    <w:t>- vecumā no 0 līdz 3 mēnešiem</w:t>
                  </w:r>
                  <w:r w:rsidRPr="000C7AA2">
                    <w:rPr>
                      <w:rFonts w:ascii="Times New Roman" w:eastAsia="Times New Roman" w:hAnsi="Times New Roman" w:cs="Times New Roman"/>
                      <w:sz w:val="24"/>
                      <w:szCs w:val="24"/>
                    </w:rPr>
                    <w:t>,</w:t>
                  </w:r>
                </w:p>
                <w:p w:rsidR="00605B4D" w:rsidRPr="000C7AA2" w:rsidRDefault="000E3E81" w:rsidP="00BA72E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05B4D" w:rsidRPr="000C7AA2">
                    <w:rPr>
                      <w:rFonts w:ascii="Times New Roman" w:eastAsia="Times New Roman" w:hAnsi="Times New Roman" w:cs="Times New Roman"/>
                      <w:sz w:val="24"/>
                      <w:szCs w:val="24"/>
                    </w:rPr>
                    <w:t> - </w:t>
                  </w:r>
                  <w:r w:rsidR="00605B4D" w:rsidRPr="000C7AA2">
                    <w:rPr>
                      <w:rFonts w:ascii="Times New Roman" w:eastAsia="Times New Roman" w:hAnsi="Times New Roman" w:cs="Times New Roman"/>
                      <w:i/>
                      <w:sz w:val="24"/>
                      <w:szCs w:val="24"/>
                    </w:rPr>
                    <w:t>vecumā no 4 līdz 12 mēnešiem</w:t>
                  </w:r>
                  <w:r w:rsidR="00605B4D" w:rsidRPr="000C7AA2">
                    <w:rPr>
                      <w:rFonts w:ascii="Times New Roman" w:eastAsia="Times New Roman" w:hAnsi="Times New Roman" w:cs="Times New Roman"/>
                      <w:sz w:val="24"/>
                      <w:szCs w:val="24"/>
                    </w:rPr>
                    <w:t>,</w:t>
                  </w:r>
                </w:p>
                <w:p w:rsidR="00605B4D" w:rsidRPr="000C7AA2" w:rsidRDefault="000E3E81" w:rsidP="00BA72ED">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6</w:t>
                  </w:r>
                  <w:r w:rsidR="00605B4D" w:rsidRPr="000C7AA2">
                    <w:rPr>
                      <w:rFonts w:ascii="Times New Roman" w:eastAsia="Times New Roman" w:hAnsi="Times New Roman" w:cs="Times New Roman"/>
                      <w:sz w:val="24"/>
                      <w:szCs w:val="24"/>
                    </w:rPr>
                    <w:t> - </w:t>
                  </w:r>
                  <w:r w:rsidR="00605B4D" w:rsidRPr="000C7AA2">
                    <w:rPr>
                      <w:rFonts w:ascii="Times New Roman" w:eastAsia="Times New Roman" w:hAnsi="Times New Roman" w:cs="Times New Roman"/>
                      <w:i/>
                      <w:sz w:val="24"/>
                      <w:szCs w:val="24"/>
                    </w:rPr>
                    <w:t>vecumā no 1 līdz 4 gadiem.</w:t>
                  </w:r>
                </w:p>
                <w:p w:rsidR="00E92248" w:rsidRPr="000C7AA2" w:rsidRDefault="00E92248" w:rsidP="00FA6C73">
                  <w:pPr>
                    <w:jc w:val="both"/>
                    <w:rPr>
                      <w:rFonts w:ascii="Times New Roman" w:hAnsi="Times New Roman" w:cs="Times New Roman"/>
                      <w:i/>
                      <w:sz w:val="24"/>
                      <w:szCs w:val="24"/>
                    </w:rPr>
                  </w:pPr>
                </w:p>
                <w:p w:rsidR="00531FEA" w:rsidRDefault="00605B4D" w:rsidP="00531FEA">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lastRenderedPageBreak/>
                    <w:t>Kopējais finansējums Noteikumu projekta īstenošanai 201</w:t>
                  </w:r>
                  <w:r w:rsidR="00A50B13">
                    <w:rPr>
                      <w:rFonts w:ascii="Times New Roman" w:eastAsia="Times New Roman" w:hAnsi="Times New Roman" w:cs="Times New Roman"/>
                      <w:sz w:val="24"/>
                      <w:szCs w:val="24"/>
                    </w:rPr>
                    <w:t>5</w:t>
                  </w:r>
                  <w:r w:rsidRPr="000C7AA2">
                    <w:rPr>
                      <w:rFonts w:ascii="Times New Roman" w:eastAsia="Times New Roman" w:hAnsi="Times New Roman" w:cs="Times New Roman"/>
                      <w:sz w:val="24"/>
                      <w:szCs w:val="24"/>
                    </w:rPr>
                    <w:t xml:space="preserve">. gadā un turpmāk </w:t>
                  </w:r>
                  <w:proofErr w:type="spellStart"/>
                  <w:r w:rsidRPr="000C7AA2">
                    <w:rPr>
                      <w:rFonts w:ascii="Times New Roman" w:eastAsia="Times New Roman" w:hAnsi="Times New Roman" w:cs="Times New Roman"/>
                      <w:sz w:val="24"/>
                      <w:szCs w:val="24"/>
                    </w:rPr>
                    <w:t>ikgadu</w:t>
                  </w:r>
                  <w:proofErr w:type="spellEnd"/>
                  <w:r w:rsidRPr="000C7AA2">
                    <w:rPr>
                      <w:rFonts w:ascii="Times New Roman" w:eastAsia="Times New Roman" w:hAnsi="Times New Roman" w:cs="Times New Roman"/>
                      <w:sz w:val="24"/>
                      <w:szCs w:val="24"/>
                    </w:rPr>
                    <w:t xml:space="preserve"> </w:t>
                  </w:r>
                  <w:r w:rsidR="00A50B13">
                    <w:rPr>
                      <w:rFonts w:ascii="Times New Roman" w:eastAsia="Times New Roman" w:hAnsi="Times New Roman" w:cs="Times New Roman"/>
                      <w:sz w:val="24"/>
                      <w:szCs w:val="24"/>
                    </w:rPr>
                    <w:t>24 885</w:t>
                  </w:r>
                  <w:r w:rsidRPr="000C7AA2">
                    <w:rPr>
                      <w:rFonts w:ascii="Times New Roman" w:eastAsia="Times New Roman" w:hAnsi="Times New Roman" w:cs="Times New Roman"/>
                      <w:sz w:val="24"/>
                      <w:szCs w:val="24"/>
                    </w:rPr>
                    <w:t>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w:t>
                  </w:r>
                </w:p>
                <w:p w:rsidR="00531FEA" w:rsidRPr="000C7AA2" w:rsidRDefault="00531FEA" w:rsidP="00531FEA">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Izdevumi higiēnas piederumiem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2542"/>
                    <w:gridCol w:w="1043"/>
                    <w:gridCol w:w="1170"/>
                    <w:gridCol w:w="1243"/>
                    <w:gridCol w:w="1407"/>
                  </w:tblGrid>
                  <w:tr w:rsidR="00531FEA" w:rsidRPr="000C7AA2" w:rsidTr="00AB77A4">
                    <w:tc>
                      <w:tcPr>
                        <w:tcW w:w="576" w:type="dxa"/>
                        <w:vAlign w:val="center"/>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Nr.</w:t>
                        </w:r>
                      </w:p>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p.k.</w:t>
                        </w:r>
                      </w:p>
                    </w:tc>
                    <w:tc>
                      <w:tcPr>
                        <w:tcW w:w="2568" w:type="dxa"/>
                        <w:vAlign w:val="center"/>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Higiēnas piederumu nosaukums</w:t>
                        </w:r>
                      </w:p>
                    </w:tc>
                    <w:tc>
                      <w:tcPr>
                        <w:tcW w:w="923" w:type="dxa"/>
                        <w:vAlign w:val="center"/>
                      </w:tcPr>
                      <w:p w:rsidR="00531FEA" w:rsidRPr="000C7AA2" w:rsidRDefault="00531FEA" w:rsidP="00AB77A4">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w:t>
                        </w:r>
                        <w:r w:rsidRPr="000C7AA2">
                          <w:rPr>
                            <w:rFonts w:ascii="Times New Roman" w:eastAsia="Times New Roman" w:hAnsi="Times New Roman" w:cs="Times New Roman"/>
                            <w:sz w:val="24"/>
                            <w:szCs w:val="24"/>
                          </w:rPr>
                          <w:t>ēr</w:t>
                        </w:r>
                        <w:r>
                          <w:rPr>
                            <w:rFonts w:ascii="Times New Roman" w:eastAsia="Times New Roman" w:hAnsi="Times New Roman" w:cs="Times New Roman"/>
                            <w:sz w:val="24"/>
                            <w:szCs w:val="24"/>
                          </w:rPr>
                          <w:t>-</w:t>
                        </w:r>
                        <w:r w:rsidRPr="000C7AA2">
                          <w:rPr>
                            <w:rFonts w:ascii="Times New Roman" w:eastAsia="Times New Roman" w:hAnsi="Times New Roman" w:cs="Times New Roman"/>
                            <w:sz w:val="24"/>
                            <w:szCs w:val="24"/>
                          </w:rPr>
                          <w:t>vienība</w:t>
                        </w:r>
                        <w:proofErr w:type="spellEnd"/>
                      </w:p>
                    </w:tc>
                    <w:tc>
                      <w:tcPr>
                        <w:tcW w:w="1176" w:type="dxa"/>
                        <w:vAlign w:val="center"/>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Cena par vienību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w:t>
                        </w:r>
                      </w:p>
                    </w:tc>
                    <w:tc>
                      <w:tcPr>
                        <w:tcW w:w="1243" w:type="dxa"/>
                        <w:vAlign w:val="center"/>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Daudzums</w:t>
                        </w:r>
                      </w:p>
                    </w:tc>
                    <w:tc>
                      <w:tcPr>
                        <w:tcW w:w="1416" w:type="dxa"/>
                        <w:vAlign w:val="center"/>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Summa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Zobu birste</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0,48</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17,28</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2.</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Zobu pasta</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50</w:t>
                        </w:r>
                        <w:r>
                          <w:rPr>
                            <w:rFonts w:ascii="Times New Roman" w:eastAsia="Times New Roman" w:hAnsi="Times New Roman" w:cs="Times New Roman"/>
                            <w:sz w:val="24"/>
                            <w:szCs w:val="24"/>
                          </w:rPr>
                          <w:t> </w:t>
                        </w:r>
                        <w:r w:rsidRPr="000C7AA2">
                          <w:rPr>
                            <w:rFonts w:ascii="Times New Roman" w:eastAsia="Times New Roman" w:hAnsi="Times New Roman" w:cs="Times New Roman"/>
                            <w:sz w:val="24"/>
                            <w:szCs w:val="24"/>
                          </w:rPr>
                          <w:t>ml</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C7AA2">
                          <w:rPr>
                            <w:rFonts w:ascii="Times New Roman" w:eastAsia="Times New Roman" w:hAnsi="Times New Roman" w:cs="Times New Roman"/>
                            <w:sz w:val="24"/>
                            <w:szCs w:val="24"/>
                          </w:rPr>
                          <w:t>,</w:t>
                        </w:r>
                        <w:r>
                          <w:rPr>
                            <w:rFonts w:ascii="Times New Roman" w:eastAsia="Times New Roman" w:hAnsi="Times New Roman" w:cs="Times New Roman"/>
                            <w:sz w:val="24"/>
                            <w:szCs w:val="24"/>
                          </w:rPr>
                          <w:t>20</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86,40</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3.</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Bērnu ziepes</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 ml</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0,73</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62,78</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4.</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Bērnu šampūns</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 ml</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55,42</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5.</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Bērnu krēms</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 ml</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0C7AA2">
                          <w:rPr>
                            <w:rFonts w:ascii="Times New Roman" w:eastAsia="Times New Roman" w:hAnsi="Times New Roman" w:cs="Times New Roman"/>
                            <w:sz w:val="24"/>
                            <w:szCs w:val="24"/>
                          </w:rPr>
                          <w:t>,</w:t>
                        </w:r>
                        <w:r>
                          <w:rPr>
                            <w:rFonts w:ascii="Times New Roman" w:eastAsia="Times New Roman" w:hAnsi="Times New Roman" w:cs="Times New Roman"/>
                            <w:sz w:val="24"/>
                            <w:szCs w:val="24"/>
                          </w:rPr>
                          <w:t>12</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305,28</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6.</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Bērnu eļļa</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 ml</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2,36</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18,88</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7.</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Vates tamponi</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0,03</w:t>
                        </w:r>
                      </w:p>
                    </w:tc>
                    <w:tc>
                      <w:tcPr>
                        <w:tcW w:w="1243" w:type="dxa"/>
                      </w:tcPr>
                      <w:p w:rsidR="00531FEA" w:rsidRPr="000C7AA2" w:rsidRDefault="009B1B57"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r w:rsidR="00531FEA">
                          <w:rPr>
                            <w:rFonts w:ascii="Times New Roman" w:eastAsia="Times New Roman" w:hAnsi="Times New Roman" w:cs="Times New Roman"/>
                            <w:sz w:val="24"/>
                            <w:szCs w:val="24"/>
                          </w:rPr>
                          <w:t>240</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67,20</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8.</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Higiēniskā v</w:t>
                        </w:r>
                        <w:r w:rsidRPr="000C7AA2">
                          <w:rPr>
                            <w:rFonts w:ascii="Times New Roman" w:eastAsia="Times New Roman" w:hAnsi="Times New Roman" w:cs="Times New Roman"/>
                            <w:sz w:val="24"/>
                            <w:szCs w:val="24"/>
                          </w:rPr>
                          <w:t xml:space="preserve">askadrāna </w:t>
                        </w:r>
                        <w:r>
                          <w:rPr>
                            <w:rFonts w:ascii="Times New Roman" w:eastAsia="Times New Roman" w:hAnsi="Times New Roman" w:cs="Times New Roman"/>
                            <w:sz w:val="24"/>
                            <w:szCs w:val="24"/>
                          </w:rPr>
                          <w:t>(7</w:t>
                        </w:r>
                        <w:r w:rsidRPr="000C7AA2">
                          <w:rPr>
                            <w:rFonts w:ascii="Times New Roman" w:eastAsia="Times New Roman" w:hAnsi="Times New Roman" w:cs="Times New Roman"/>
                            <w:sz w:val="24"/>
                            <w:szCs w:val="24"/>
                          </w:rPr>
                          <w:t xml:space="preserve">0cm x </w:t>
                        </w:r>
                        <w:r>
                          <w:rPr>
                            <w:rFonts w:ascii="Times New Roman" w:eastAsia="Times New Roman" w:hAnsi="Times New Roman" w:cs="Times New Roman"/>
                            <w:sz w:val="24"/>
                            <w:szCs w:val="24"/>
                          </w:rPr>
                          <w:t>100</w:t>
                        </w:r>
                        <w:r w:rsidRPr="000C7AA2">
                          <w:rPr>
                            <w:rFonts w:ascii="Times New Roman" w:eastAsia="Times New Roman" w:hAnsi="Times New Roman" w:cs="Times New Roman"/>
                            <w:sz w:val="24"/>
                            <w:szCs w:val="24"/>
                          </w:rPr>
                          <w:t>cm)</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13,15</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289,30</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9.</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Autiņbiksītes</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0,17</w:t>
                        </w:r>
                      </w:p>
                    </w:tc>
                    <w:tc>
                      <w:tcPr>
                        <w:tcW w:w="1243" w:type="dxa"/>
                      </w:tcPr>
                      <w:p w:rsidR="00531FEA" w:rsidRPr="000C7AA2" w:rsidRDefault="00531FEA" w:rsidP="009B1B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9B1B57">
                          <w:rPr>
                            <w:rFonts w:ascii="Times New Roman" w:eastAsia="Times New Roman" w:hAnsi="Times New Roman" w:cs="Times New Roman"/>
                            <w:sz w:val="24"/>
                            <w:szCs w:val="24"/>
                          </w:rPr>
                          <w:t> </w:t>
                        </w:r>
                        <w:r>
                          <w:rPr>
                            <w:rFonts w:ascii="Times New Roman" w:eastAsia="Times New Roman" w:hAnsi="Times New Roman" w:cs="Times New Roman"/>
                            <w:sz w:val="24"/>
                            <w:szCs w:val="24"/>
                          </w:rPr>
                          <w:t>070</w:t>
                        </w:r>
                      </w:p>
                    </w:tc>
                    <w:tc>
                      <w:tcPr>
                        <w:tcW w:w="1416" w:type="dxa"/>
                      </w:tcPr>
                      <w:p w:rsidR="00531FEA" w:rsidRPr="000C7AA2" w:rsidRDefault="00531FEA" w:rsidP="00531FE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2 391,90</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10.</w:t>
                        </w:r>
                      </w:p>
                    </w:tc>
                    <w:tc>
                      <w:tcPr>
                        <w:tcW w:w="2568" w:type="dxa"/>
                      </w:tcPr>
                      <w:p w:rsidR="00531FEA" w:rsidRPr="000C7AA2" w:rsidRDefault="00531FEA" w:rsidP="00531FE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Higiēniskās salvetes (m</w:t>
                        </w:r>
                        <w:r w:rsidRPr="000C7AA2">
                          <w:rPr>
                            <w:rFonts w:ascii="Times New Roman" w:eastAsia="Times New Roman" w:hAnsi="Times New Roman" w:cs="Times New Roman"/>
                            <w:sz w:val="24"/>
                            <w:szCs w:val="24"/>
                          </w:rPr>
                          <w:t>itr</w:t>
                        </w:r>
                        <w:r>
                          <w:rPr>
                            <w:rFonts w:ascii="Times New Roman" w:eastAsia="Times New Roman" w:hAnsi="Times New Roman" w:cs="Times New Roman"/>
                            <w:sz w:val="24"/>
                            <w:szCs w:val="24"/>
                          </w:rPr>
                          <w:t>ā</w:t>
                        </w:r>
                        <w:r w:rsidRPr="000C7AA2">
                          <w:rPr>
                            <w:rFonts w:ascii="Times New Roman" w:eastAsia="Times New Roman" w:hAnsi="Times New Roman" w:cs="Times New Roman"/>
                            <w:sz w:val="24"/>
                            <w:szCs w:val="24"/>
                          </w:rPr>
                          <w:t>s salvetes</w:t>
                        </w:r>
                        <w:r>
                          <w:rPr>
                            <w:rFonts w:ascii="Times New Roman" w:eastAsia="Times New Roman" w:hAnsi="Times New Roman" w:cs="Times New Roman"/>
                            <w:sz w:val="24"/>
                            <w:szCs w:val="24"/>
                          </w:rPr>
                          <w:t>)</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0,03</w:t>
                        </w:r>
                      </w:p>
                    </w:tc>
                    <w:tc>
                      <w:tcPr>
                        <w:tcW w:w="1243" w:type="dxa"/>
                      </w:tcPr>
                      <w:p w:rsidR="00531FEA" w:rsidRPr="000C7AA2" w:rsidRDefault="009B1B57"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r w:rsidR="00531FEA">
                          <w:rPr>
                            <w:rFonts w:ascii="Times New Roman" w:eastAsia="Times New Roman" w:hAnsi="Times New Roman" w:cs="Times New Roman"/>
                            <w:sz w:val="24"/>
                            <w:szCs w:val="24"/>
                          </w:rPr>
                          <w:t>130</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123,90</w:t>
                        </w:r>
                      </w:p>
                    </w:tc>
                  </w:tr>
                  <w:tr w:rsidR="00531FEA" w:rsidRPr="000C7AA2" w:rsidTr="00AB77A4">
                    <w:trPr>
                      <w:trHeight w:val="339"/>
                    </w:trPr>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11.</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Matu suka</w:t>
                        </w:r>
                        <w:r>
                          <w:rPr>
                            <w:rFonts w:ascii="Times New Roman" w:eastAsia="Times New Roman" w:hAnsi="Times New Roman" w:cs="Times New Roman"/>
                            <w:sz w:val="24"/>
                            <w:szCs w:val="24"/>
                          </w:rPr>
                          <w:t xml:space="preserve"> vai ķemme</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0,64</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10,24</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12.</w:t>
                        </w:r>
                      </w:p>
                    </w:tc>
                    <w:tc>
                      <w:tcPr>
                        <w:tcW w:w="2568" w:type="dxa"/>
                      </w:tcPr>
                      <w:p w:rsidR="00531FEA" w:rsidRPr="000C7AA2" w:rsidRDefault="00531FEA" w:rsidP="00AB77A4">
                        <w:pPr>
                          <w:jc w:val="both"/>
                          <w:rPr>
                            <w:rFonts w:ascii="Times New Roman" w:eastAsia="Times New Roman" w:hAnsi="Times New Roman" w:cs="Times New Roman"/>
                            <w:sz w:val="24"/>
                            <w:szCs w:val="24"/>
                          </w:rPr>
                        </w:pPr>
                        <w:proofErr w:type="spellStart"/>
                        <w:r w:rsidRPr="000C7AA2">
                          <w:rPr>
                            <w:rFonts w:ascii="Times New Roman" w:hAnsi="Times New Roman" w:cs="Times New Roman"/>
                            <w:sz w:val="24"/>
                            <w:szCs w:val="24"/>
                          </w:rPr>
                          <w:t>Švamm</w:t>
                        </w:r>
                        <w:r w:rsidRPr="000C7AA2">
                          <w:rPr>
                            <w:rFonts w:ascii="Times New Roman" w:eastAsia="Times New Roman" w:hAnsi="Times New Roman" w:cs="Times New Roman"/>
                            <w:sz w:val="24"/>
                            <w:szCs w:val="24"/>
                          </w:rPr>
                          <w:t>e</w:t>
                        </w:r>
                        <w:proofErr w:type="spellEnd"/>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0,31</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5,27</w:t>
                        </w:r>
                      </w:p>
                    </w:tc>
                  </w:tr>
                  <w:tr w:rsidR="00531FEA" w:rsidRPr="000C7AA2" w:rsidTr="00531FEA">
                    <w:trPr>
                      <w:trHeight w:val="623"/>
                    </w:trPr>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13.</w:t>
                        </w:r>
                      </w:p>
                    </w:tc>
                    <w:tc>
                      <w:tcPr>
                        <w:tcW w:w="2568" w:type="dxa"/>
                        <w:vAlign w:val="center"/>
                      </w:tcPr>
                      <w:p w:rsidR="00531FEA" w:rsidRPr="000C7AA2" w:rsidRDefault="00531FEA" w:rsidP="00531FEA">
                        <w:pPr>
                          <w:rPr>
                            <w:rFonts w:ascii="Times New Roman" w:eastAsia="Times New Roman" w:hAnsi="Times New Roman" w:cs="Times New Roman"/>
                            <w:sz w:val="24"/>
                            <w:szCs w:val="24"/>
                          </w:rPr>
                        </w:pPr>
                        <w:r>
                          <w:rPr>
                            <w:rFonts w:ascii="Times New Roman" w:eastAsia="Times New Roman" w:hAnsi="Times New Roman" w:cs="Times New Roman"/>
                            <w:sz w:val="24"/>
                            <w:szCs w:val="24"/>
                          </w:rPr>
                          <w:t>Zīdaiņu pūderis</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gr.</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2,06</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24,72</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14.</w:t>
                        </w:r>
                      </w:p>
                    </w:tc>
                    <w:tc>
                      <w:tcPr>
                        <w:tcW w:w="2568" w:type="dxa"/>
                      </w:tcPr>
                      <w:p w:rsidR="00531FEA" w:rsidRPr="000C7AA2" w:rsidRDefault="00531FEA" w:rsidP="00AB77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Tualetes papīrs (30m)</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ruļļi</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0,19</w:t>
                        </w:r>
                      </w:p>
                    </w:tc>
                    <w:tc>
                      <w:tcPr>
                        <w:tcW w:w="124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196</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37,24</w:t>
                        </w:r>
                      </w:p>
                    </w:tc>
                  </w:tr>
                  <w:tr w:rsidR="00531FEA" w:rsidRPr="000C7AA2" w:rsidTr="00AB77A4">
                    <w:tc>
                      <w:tcPr>
                        <w:tcW w:w="576" w:type="dxa"/>
                      </w:tcPr>
                      <w:p w:rsidR="00531FEA" w:rsidRPr="000C7AA2" w:rsidRDefault="00531FEA" w:rsidP="00AB77A4">
                        <w:pPr>
                          <w:jc w:val="center"/>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15.</w:t>
                        </w:r>
                      </w:p>
                    </w:tc>
                    <w:tc>
                      <w:tcPr>
                        <w:tcW w:w="2568" w:type="dxa"/>
                      </w:tcPr>
                      <w:p w:rsidR="00531FEA" w:rsidRPr="000C7AA2" w:rsidRDefault="00531FEA" w:rsidP="00AB77A4">
                        <w:pPr>
                          <w:rPr>
                            <w:rFonts w:ascii="Times New Roman" w:eastAsia="Times New Roman" w:hAnsi="Times New Roman" w:cs="Times New Roman"/>
                            <w:sz w:val="24"/>
                            <w:szCs w:val="24"/>
                          </w:rPr>
                        </w:pPr>
                        <w:r>
                          <w:rPr>
                            <w:rFonts w:ascii="Times New Roman" w:hAnsi="Times New Roman" w:cs="Times New Roman"/>
                            <w:sz w:val="24"/>
                            <w:szCs w:val="24"/>
                          </w:rPr>
                          <w:t>Papīra kabatlakatiņi</w:t>
                        </w:r>
                      </w:p>
                    </w:tc>
                    <w:tc>
                      <w:tcPr>
                        <w:tcW w:w="923"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gab.</w:t>
                        </w:r>
                      </w:p>
                    </w:tc>
                    <w:tc>
                      <w:tcPr>
                        <w:tcW w:w="117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0,51</w:t>
                        </w:r>
                      </w:p>
                    </w:tc>
                    <w:tc>
                      <w:tcPr>
                        <w:tcW w:w="1243" w:type="dxa"/>
                      </w:tcPr>
                      <w:p w:rsidR="00531FEA" w:rsidRPr="000C7AA2" w:rsidRDefault="00531FEA" w:rsidP="00AB77A4">
                        <w:pPr>
                          <w:tabs>
                            <w:tab w:val="left" w:pos="360"/>
                            <w:tab w:val="center" w:pos="513"/>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1416" w:type="dxa"/>
                      </w:tcPr>
                      <w:p w:rsidR="00531FEA" w:rsidRPr="000C7AA2" w:rsidRDefault="00531FEA" w:rsidP="00AB77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29,07</w:t>
                        </w:r>
                      </w:p>
                    </w:tc>
                  </w:tr>
                  <w:tr w:rsidR="00531FEA" w:rsidRPr="000C7AA2" w:rsidTr="00531FEA">
                    <w:tc>
                      <w:tcPr>
                        <w:tcW w:w="576" w:type="dxa"/>
                      </w:tcPr>
                      <w:p w:rsidR="00531FEA" w:rsidRPr="000C7AA2" w:rsidRDefault="00531FEA" w:rsidP="00AB77A4">
                        <w:pPr>
                          <w:jc w:val="center"/>
                          <w:rPr>
                            <w:rFonts w:ascii="Times New Roman" w:eastAsia="Times New Roman" w:hAnsi="Times New Roman" w:cs="Times New Roman"/>
                            <w:b/>
                            <w:sz w:val="24"/>
                            <w:szCs w:val="24"/>
                          </w:rPr>
                        </w:pPr>
                      </w:p>
                    </w:tc>
                    <w:tc>
                      <w:tcPr>
                        <w:tcW w:w="2568" w:type="dxa"/>
                        <w:vAlign w:val="center"/>
                      </w:tcPr>
                      <w:p w:rsidR="00531FEA" w:rsidRPr="000C7AA2" w:rsidRDefault="00531FEA" w:rsidP="00531FEA">
                        <w:pPr>
                          <w:jc w:val="right"/>
                          <w:rPr>
                            <w:rFonts w:ascii="Times New Roman" w:eastAsia="Times New Roman" w:hAnsi="Times New Roman" w:cs="Times New Roman"/>
                            <w:b/>
                            <w:sz w:val="24"/>
                            <w:szCs w:val="24"/>
                          </w:rPr>
                        </w:pPr>
                        <w:r w:rsidRPr="000C7AA2">
                          <w:rPr>
                            <w:rFonts w:ascii="Times New Roman" w:eastAsia="Times New Roman" w:hAnsi="Times New Roman" w:cs="Times New Roman"/>
                            <w:b/>
                            <w:sz w:val="24"/>
                            <w:szCs w:val="24"/>
                          </w:rPr>
                          <w:t>Kopā:</w:t>
                        </w:r>
                      </w:p>
                    </w:tc>
                    <w:tc>
                      <w:tcPr>
                        <w:tcW w:w="923" w:type="dxa"/>
                        <w:vAlign w:val="center"/>
                      </w:tcPr>
                      <w:p w:rsidR="00531FEA" w:rsidRPr="000C7AA2" w:rsidRDefault="00531FEA" w:rsidP="00531FE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1176" w:type="dxa"/>
                        <w:vAlign w:val="center"/>
                      </w:tcPr>
                      <w:p w:rsidR="00531FEA" w:rsidRPr="000C7AA2" w:rsidRDefault="00531FEA" w:rsidP="00531FEA">
                        <w:pPr>
                          <w:jc w:val="center"/>
                          <w:rPr>
                            <w:rFonts w:ascii="Times New Roman" w:eastAsia="Times New Roman" w:hAnsi="Times New Roman" w:cs="Times New Roman"/>
                            <w:b/>
                            <w:sz w:val="24"/>
                            <w:szCs w:val="24"/>
                          </w:rPr>
                        </w:pPr>
                        <w:r w:rsidRPr="000C7AA2">
                          <w:rPr>
                            <w:rFonts w:ascii="Times New Roman" w:eastAsia="Times New Roman" w:hAnsi="Times New Roman" w:cs="Times New Roman"/>
                            <w:b/>
                            <w:sz w:val="24"/>
                            <w:szCs w:val="24"/>
                          </w:rPr>
                          <w:t>x</w:t>
                        </w:r>
                      </w:p>
                    </w:tc>
                    <w:tc>
                      <w:tcPr>
                        <w:tcW w:w="1243" w:type="dxa"/>
                        <w:vAlign w:val="center"/>
                      </w:tcPr>
                      <w:p w:rsidR="00531FEA" w:rsidRPr="000C7AA2" w:rsidRDefault="00531FEA" w:rsidP="00531FEA">
                        <w:pPr>
                          <w:jc w:val="center"/>
                          <w:rPr>
                            <w:rFonts w:ascii="Times New Roman" w:eastAsia="Times New Roman" w:hAnsi="Times New Roman" w:cs="Times New Roman"/>
                            <w:b/>
                            <w:sz w:val="24"/>
                            <w:szCs w:val="24"/>
                          </w:rPr>
                        </w:pPr>
                        <w:r w:rsidRPr="000C7AA2">
                          <w:rPr>
                            <w:rFonts w:ascii="Times New Roman" w:eastAsia="Times New Roman" w:hAnsi="Times New Roman" w:cs="Times New Roman"/>
                            <w:b/>
                            <w:sz w:val="24"/>
                            <w:szCs w:val="24"/>
                          </w:rPr>
                          <w:t>x</w:t>
                        </w:r>
                      </w:p>
                    </w:tc>
                    <w:tc>
                      <w:tcPr>
                        <w:tcW w:w="1416" w:type="dxa"/>
                        <w:vAlign w:val="center"/>
                      </w:tcPr>
                      <w:p w:rsidR="00531FEA" w:rsidRPr="000C7AA2" w:rsidRDefault="00531FEA" w:rsidP="00531FE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3 524,88</w:t>
                        </w:r>
                      </w:p>
                    </w:tc>
                  </w:tr>
                </w:tbl>
                <w:p w:rsidR="00531FEA" w:rsidRPr="000C7AA2" w:rsidRDefault="00531FEA" w:rsidP="00531FEA">
                  <w:pPr>
                    <w:jc w:val="both"/>
                    <w:rPr>
                      <w:rFonts w:ascii="Times New Roman" w:eastAsia="Times New Roman" w:hAnsi="Times New Roman" w:cs="Times New Roman"/>
                      <w:sz w:val="24"/>
                      <w:szCs w:val="24"/>
                    </w:rPr>
                  </w:pPr>
                </w:p>
                <w:p w:rsidR="00531FEA" w:rsidRPr="000C7AA2" w:rsidRDefault="00531FEA" w:rsidP="00531FEA">
                  <w:pPr>
                    <w:spacing w:after="0" w:line="240" w:lineRule="auto"/>
                    <w:ind w:left="720"/>
                    <w:rPr>
                      <w:rFonts w:ascii="Times New Roman" w:hAnsi="Times New Roman" w:cs="Times New Roman"/>
                      <w:sz w:val="24"/>
                      <w:szCs w:val="24"/>
                    </w:rPr>
                  </w:pPr>
                  <w:r w:rsidRPr="000C7AA2">
                    <w:rPr>
                      <w:rFonts w:ascii="Times New Roman" w:eastAsia="Times New Roman" w:hAnsi="Times New Roman" w:cs="Times New Roman"/>
                      <w:sz w:val="24"/>
                      <w:szCs w:val="24"/>
                    </w:rPr>
                    <w:t>Apģērb</w:t>
                  </w:r>
                  <w:r>
                    <w:rPr>
                      <w:rFonts w:ascii="Times New Roman" w:eastAsia="Times New Roman" w:hAnsi="Times New Roman" w:cs="Times New Roman"/>
                      <w:sz w:val="24"/>
                      <w:szCs w:val="24"/>
                    </w:rPr>
                    <w:t xml:space="preserve">u un </w:t>
                  </w:r>
                  <w:r w:rsidRPr="000C7AA2">
                    <w:rPr>
                      <w:rFonts w:ascii="Times New Roman" w:eastAsia="Times New Roman" w:hAnsi="Times New Roman" w:cs="Times New Roman"/>
                      <w:sz w:val="24"/>
                      <w:szCs w:val="24"/>
                    </w:rPr>
                    <w:t xml:space="preserve">apavu izdevumi (EKK 2361) </w:t>
                  </w:r>
                  <w:r>
                    <w:rPr>
                      <w:rFonts w:ascii="Times New Roman" w:eastAsia="Times New Roman" w:hAnsi="Times New Roman" w:cs="Times New Roman"/>
                      <w:sz w:val="24"/>
                      <w:szCs w:val="24"/>
                    </w:rPr>
                    <w:t>5 966,84</w:t>
                  </w:r>
                  <w:r w:rsidRPr="00E65061">
                    <w:rPr>
                      <w:rFonts w:ascii="Times New Roman" w:eastAsia="Times New Roman" w:hAnsi="Times New Roman" w:cs="Times New Roman"/>
                      <w:sz w:val="24"/>
                      <w:szCs w:val="24"/>
                    </w:rPr>
                    <w:t xml:space="preserve"> </w:t>
                  </w:r>
                  <w:proofErr w:type="spellStart"/>
                  <w:r w:rsidRPr="00E65061">
                    <w:rPr>
                      <w:rFonts w:ascii="Times New Roman" w:eastAsia="Times New Roman" w:hAnsi="Times New Roman" w:cs="Times New Roman"/>
                      <w:i/>
                      <w:sz w:val="24"/>
                      <w:szCs w:val="24"/>
                    </w:rPr>
                    <w:t>euro</w:t>
                  </w:r>
                  <w:proofErr w:type="spellEnd"/>
                  <w:r w:rsidRPr="00E65061">
                    <w:rPr>
                      <w:rFonts w:ascii="Times New Roman" w:eastAsia="Times New Roman" w:hAnsi="Times New Roman" w:cs="Times New Roman"/>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542,44</w:t>
                  </w:r>
                  <w:r w:rsidRPr="000C7AA2">
                    <w:rPr>
                      <w:rFonts w:ascii="Times New Roman" w:eastAsia="Times New Roman" w:hAnsi="Times New Roman" w:cs="Times New Roman"/>
                      <w:sz w:val="24"/>
                      <w:szCs w:val="24"/>
                    </w:rPr>
                    <w:t xml:space="preserve"> x </w:t>
                  </w:r>
                  <w:r>
                    <w:rPr>
                      <w:rFonts w:ascii="Times New Roman" w:eastAsia="Times New Roman" w:hAnsi="Times New Roman" w:cs="Times New Roman"/>
                      <w:sz w:val="24"/>
                      <w:szCs w:val="24"/>
                    </w:rPr>
                    <w:t>11</w:t>
                  </w:r>
                  <w:r w:rsidRPr="000C7AA2">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5 966,84</w:t>
                  </w:r>
                  <w:r w:rsidRPr="000C7AA2">
                    <w:rPr>
                      <w:rFonts w:ascii="Times New Roman" w:eastAsia="Times New Roman" w:hAnsi="Times New Roman" w:cs="Times New Roman"/>
                      <w:sz w:val="24"/>
                      <w:szCs w:val="24"/>
                    </w:rPr>
                    <w:t xml:space="preserve">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 kur</w:t>
                  </w:r>
                </w:p>
                <w:p w:rsidR="00531FEA" w:rsidRPr="000C7AA2" w:rsidRDefault="00531FEA" w:rsidP="00531FEA">
                  <w:pPr>
                    <w:spacing w:after="0"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sz w:val="24"/>
                      <w:szCs w:val="24"/>
                    </w:rPr>
                    <w:t>542,44 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i/>
                      <w:sz w:val="24"/>
                      <w:szCs w:val="24"/>
                    </w:rPr>
                    <w:t> </w:t>
                  </w:r>
                  <w:r w:rsidRPr="000C7AA2">
                    <w:rPr>
                      <w:rFonts w:ascii="Times New Roman" w:eastAsia="Times New Roman" w:hAnsi="Times New Roman" w:cs="Times New Roman"/>
                      <w:sz w:val="24"/>
                      <w:szCs w:val="24"/>
                    </w:rPr>
                    <w:t>– </w:t>
                  </w:r>
                  <w:r w:rsidRPr="000C7AA2">
                    <w:rPr>
                      <w:rFonts w:ascii="Times New Roman" w:eastAsia="Times New Roman" w:hAnsi="Times New Roman" w:cs="Times New Roman"/>
                      <w:i/>
                      <w:sz w:val="24"/>
                      <w:szCs w:val="24"/>
                    </w:rPr>
                    <w:t>vidējie apģērbu</w:t>
                  </w:r>
                  <w:r>
                    <w:rPr>
                      <w:rFonts w:ascii="Times New Roman" w:eastAsia="Times New Roman" w:hAnsi="Times New Roman" w:cs="Times New Roman"/>
                      <w:i/>
                      <w:sz w:val="24"/>
                      <w:szCs w:val="24"/>
                    </w:rPr>
                    <w:t xml:space="preserve"> un </w:t>
                  </w:r>
                  <w:r w:rsidRPr="000C7AA2">
                    <w:rPr>
                      <w:rFonts w:ascii="Times New Roman" w:eastAsia="Times New Roman" w:hAnsi="Times New Roman" w:cs="Times New Roman"/>
                      <w:i/>
                      <w:sz w:val="24"/>
                      <w:szCs w:val="24"/>
                    </w:rPr>
                    <w:t xml:space="preserve">apavu iegādes izdevumi </w:t>
                  </w:r>
                  <w:r w:rsidRPr="002160EE">
                    <w:rPr>
                      <w:rFonts w:ascii="Times New Roman" w:eastAsia="Times New Roman" w:hAnsi="Times New Roman" w:cs="Times New Roman"/>
                      <w:i/>
                      <w:sz w:val="24"/>
                      <w:szCs w:val="24"/>
                    </w:rPr>
                    <w:t>saskaņā ar noslēgt</w:t>
                  </w:r>
                  <w:r>
                    <w:rPr>
                      <w:rFonts w:ascii="Times New Roman" w:eastAsia="Times New Roman" w:hAnsi="Times New Roman" w:cs="Times New Roman"/>
                      <w:i/>
                      <w:sz w:val="24"/>
                      <w:szCs w:val="24"/>
                    </w:rPr>
                    <w:t>a</w:t>
                  </w:r>
                  <w:r w:rsidRPr="002160EE">
                    <w:rPr>
                      <w:rFonts w:ascii="Times New Roman" w:eastAsia="Times New Roman" w:hAnsi="Times New Roman" w:cs="Times New Roman"/>
                      <w:i/>
                      <w:sz w:val="24"/>
                      <w:szCs w:val="24"/>
                    </w:rPr>
                    <w:t>jiem līgumiem</w:t>
                  </w:r>
                  <w:r>
                    <w:rPr>
                      <w:rFonts w:ascii="Times New Roman" w:eastAsia="Times New Roman" w:hAnsi="Times New Roman" w:cs="Times New Roman"/>
                      <w:i/>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0C7AA2">
                    <w:rPr>
                      <w:rFonts w:ascii="Times New Roman" w:eastAsia="Times New Roman" w:hAnsi="Times New Roman" w:cs="Times New Roman"/>
                      <w:sz w:val="24"/>
                      <w:szCs w:val="24"/>
                    </w:rPr>
                    <w:t> – </w:t>
                  </w:r>
                  <w:r w:rsidRPr="000C7AA2">
                    <w:rPr>
                      <w:rFonts w:ascii="Times New Roman" w:eastAsia="Times New Roman" w:hAnsi="Times New Roman" w:cs="Times New Roman"/>
                      <w:i/>
                      <w:sz w:val="24"/>
                      <w:szCs w:val="24"/>
                    </w:rPr>
                    <w:t>plānotais bērnu skaits 201</w:t>
                  </w:r>
                  <w:r>
                    <w:rPr>
                      <w:rFonts w:ascii="Times New Roman" w:eastAsia="Times New Roman" w:hAnsi="Times New Roman" w:cs="Times New Roman"/>
                      <w:i/>
                      <w:sz w:val="24"/>
                      <w:szCs w:val="24"/>
                    </w:rPr>
                    <w:t>5</w:t>
                  </w:r>
                  <w:r w:rsidRPr="000C7AA2">
                    <w:rPr>
                      <w:rFonts w:ascii="Times New Roman" w:eastAsia="Times New Roman" w:hAnsi="Times New Roman" w:cs="Times New Roman"/>
                      <w:i/>
                      <w:sz w:val="24"/>
                      <w:szCs w:val="24"/>
                    </w:rPr>
                    <w:t>. gadā.</w:t>
                  </w:r>
                </w:p>
                <w:p w:rsidR="00531FEA" w:rsidRPr="000C7AA2" w:rsidRDefault="00531FEA" w:rsidP="00531FEA">
                  <w:pPr>
                    <w:spacing w:after="0" w:line="240" w:lineRule="auto"/>
                    <w:jc w:val="both"/>
                    <w:rPr>
                      <w:rFonts w:ascii="Times New Roman" w:eastAsia="Times New Roman" w:hAnsi="Times New Roman" w:cs="Times New Roman"/>
                      <w:sz w:val="24"/>
                      <w:szCs w:val="24"/>
                    </w:rPr>
                  </w:pPr>
                </w:p>
                <w:p w:rsidR="00531FEA" w:rsidRPr="000C7AA2" w:rsidRDefault="00531FEA" w:rsidP="00531FEA">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Gultas piederumu un inventāra</w:t>
                  </w:r>
                  <w:r w:rsidRPr="000C7AA2">
                    <w:rPr>
                      <w:rFonts w:ascii="Times New Roman" w:eastAsia="Times New Roman" w:hAnsi="Times New Roman" w:cs="Times New Roman"/>
                      <w:sz w:val="24"/>
                      <w:szCs w:val="24"/>
                    </w:rPr>
                    <w:t xml:space="preserve"> izdevumi (</w:t>
                  </w:r>
                  <w:r>
                    <w:rPr>
                      <w:rFonts w:ascii="Times New Roman" w:eastAsia="Times New Roman" w:hAnsi="Times New Roman" w:cs="Times New Roman"/>
                      <w:sz w:val="24"/>
                      <w:szCs w:val="24"/>
                    </w:rPr>
                    <w:t xml:space="preserve">EKK 2361 un </w:t>
                  </w:r>
                  <w:r w:rsidRPr="000C7AA2">
                    <w:rPr>
                      <w:rFonts w:ascii="Times New Roman" w:eastAsia="Times New Roman" w:hAnsi="Times New Roman" w:cs="Times New Roman"/>
                      <w:sz w:val="24"/>
                      <w:szCs w:val="24"/>
                    </w:rPr>
                    <w:t xml:space="preserve">EKK 2312) </w:t>
                  </w:r>
                  <w:r>
                    <w:rPr>
                      <w:rFonts w:ascii="Times New Roman" w:eastAsia="Times New Roman" w:hAnsi="Times New Roman" w:cs="Times New Roman"/>
                      <w:sz w:val="24"/>
                      <w:szCs w:val="24"/>
                    </w:rPr>
                    <w:t>2 932,82 </w:t>
                  </w:r>
                  <w:proofErr w:type="spellStart"/>
                  <w:r w:rsidRPr="001F120E">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266,62 </w:t>
                  </w:r>
                  <w:r w:rsidRPr="000C7AA2">
                    <w:rPr>
                      <w:rFonts w:ascii="Times New Roman" w:eastAsia="Times New Roman" w:hAnsi="Times New Roman" w:cs="Times New Roman"/>
                      <w:sz w:val="24"/>
                      <w:szCs w:val="24"/>
                    </w:rPr>
                    <w:t xml:space="preserve">x </w:t>
                  </w:r>
                  <w:r>
                    <w:rPr>
                      <w:rFonts w:ascii="Times New Roman" w:eastAsia="Times New Roman" w:hAnsi="Times New Roman" w:cs="Times New Roman"/>
                      <w:sz w:val="24"/>
                      <w:szCs w:val="24"/>
                    </w:rPr>
                    <w:t>11</w:t>
                  </w:r>
                  <w:r w:rsidRPr="000C7AA2">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2 932,82 </w:t>
                  </w:r>
                  <w:proofErr w:type="spellStart"/>
                  <w:r w:rsidRPr="00816FE3">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 kur</w:t>
                  </w:r>
                </w:p>
                <w:p w:rsidR="00531FEA" w:rsidRDefault="00531FEA" w:rsidP="00531FEA">
                  <w:pPr>
                    <w:spacing w:after="0"/>
                    <w:ind w:left="720"/>
                    <w:rPr>
                      <w:rFonts w:ascii="Times New Roman" w:eastAsia="Times New Roman" w:hAnsi="Times New Roman" w:cs="Times New Roman"/>
                      <w:i/>
                      <w:sz w:val="24"/>
                      <w:szCs w:val="24"/>
                    </w:rPr>
                  </w:pPr>
                  <w:r>
                    <w:rPr>
                      <w:rFonts w:ascii="Times New Roman" w:eastAsia="Times New Roman" w:hAnsi="Times New Roman" w:cs="Times New Roman"/>
                      <w:sz w:val="24"/>
                      <w:szCs w:val="24"/>
                    </w:rPr>
                    <w:t>266,62</w:t>
                  </w:r>
                  <w:r w:rsidRPr="000C7AA2">
                    <w:rPr>
                      <w:rFonts w:ascii="Times New Roman" w:eastAsia="Times New Roman" w:hAnsi="Times New Roman" w:cs="Times New Roman"/>
                      <w:sz w:val="24"/>
                      <w:szCs w:val="24"/>
                    </w:rPr>
                    <w:t>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i/>
                      <w:sz w:val="24"/>
                      <w:szCs w:val="24"/>
                    </w:rPr>
                    <w:t> </w:t>
                  </w:r>
                  <w:r w:rsidRPr="000C7AA2">
                    <w:rPr>
                      <w:rFonts w:ascii="Times New Roman" w:eastAsia="Times New Roman" w:hAnsi="Times New Roman" w:cs="Times New Roman"/>
                      <w:sz w:val="24"/>
                      <w:szCs w:val="24"/>
                    </w:rPr>
                    <w:t>– </w:t>
                  </w:r>
                  <w:r w:rsidRPr="000C7AA2">
                    <w:rPr>
                      <w:rFonts w:ascii="Times New Roman" w:eastAsia="Times New Roman" w:hAnsi="Times New Roman" w:cs="Times New Roman"/>
                      <w:i/>
                      <w:sz w:val="24"/>
                      <w:szCs w:val="24"/>
                    </w:rPr>
                    <w:t xml:space="preserve">vidējie </w:t>
                  </w:r>
                  <w:proofErr w:type="gramStart"/>
                  <w:r>
                    <w:rPr>
                      <w:rFonts w:ascii="Times New Roman" w:eastAsia="Times New Roman" w:hAnsi="Times New Roman" w:cs="Times New Roman"/>
                      <w:i/>
                      <w:sz w:val="24"/>
                      <w:szCs w:val="24"/>
                    </w:rPr>
                    <w:t>gultas piederumu</w:t>
                  </w:r>
                  <w:proofErr w:type="gramEnd"/>
                  <w:r>
                    <w:rPr>
                      <w:rFonts w:ascii="Times New Roman" w:eastAsia="Times New Roman" w:hAnsi="Times New Roman" w:cs="Times New Roman"/>
                      <w:i/>
                      <w:sz w:val="24"/>
                      <w:szCs w:val="24"/>
                    </w:rPr>
                    <w:t xml:space="preserve"> un inventāra </w:t>
                  </w:r>
                  <w:r w:rsidRPr="000C7AA2">
                    <w:rPr>
                      <w:rFonts w:ascii="Times New Roman" w:eastAsia="Times New Roman" w:hAnsi="Times New Roman" w:cs="Times New Roman"/>
                      <w:i/>
                      <w:sz w:val="24"/>
                      <w:szCs w:val="24"/>
                    </w:rPr>
                    <w:t xml:space="preserve">izdevumi </w:t>
                  </w:r>
                  <w:r w:rsidRPr="002160EE">
                    <w:rPr>
                      <w:rFonts w:ascii="Times New Roman" w:eastAsia="Times New Roman" w:hAnsi="Times New Roman" w:cs="Times New Roman"/>
                      <w:i/>
                      <w:sz w:val="24"/>
                      <w:szCs w:val="24"/>
                    </w:rPr>
                    <w:t>saskaņā ar noslēgtajiem līgumiem</w:t>
                  </w:r>
                  <w:r>
                    <w:rPr>
                      <w:rFonts w:ascii="Times New Roman" w:eastAsia="Times New Roman" w:hAnsi="Times New Roman" w:cs="Times New Roman"/>
                      <w:i/>
                      <w:sz w:val="24"/>
                      <w:szCs w:val="24"/>
                    </w:rPr>
                    <w:t>;</w:t>
                  </w:r>
                </w:p>
                <w:p w:rsidR="00531FEA" w:rsidRDefault="00531FEA" w:rsidP="00531FEA">
                  <w:pPr>
                    <w:spacing w:after="0"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11 </w:t>
                  </w:r>
                  <w:r w:rsidRPr="000C7AA2">
                    <w:rPr>
                      <w:rFonts w:ascii="Times New Roman" w:eastAsia="Times New Roman" w:hAnsi="Times New Roman" w:cs="Times New Roman"/>
                      <w:sz w:val="24"/>
                      <w:szCs w:val="24"/>
                    </w:rPr>
                    <w:t>– </w:t>
                  </w:r>
                  <w:r w:rsidRPr="000C7AA2">
                    <w:rPr>
                      <w:rFonts w:ascii="Times New Roman" w:eastAsia="Times New Roman" w:hAnsi="Times New Roman" w:cs="Times New Roman"/>
                      <w:i/>
                      <w:sz w:val="24"/>
                      <w:szCs w:val="24"/>
                    </w:rPr>
                    <w:t>plānotais bērnu skaits 201</w:t>
                  </w:r>
                  <w:r>
                    <w:rPr>
                      <w:rFonts w:ascii="Times New Roman" w:eastAsia="Times New Roman" w:hAnsi="Times New Roman" w:cs="Times New Roman"/>
                      <w:i/>
                      <w:sz w:val="24"/>
                      <w:szCs w:val="24"/>
                    </w:rPr>
                    <w:t>5</w:t>
                  </w:r>
                  <w:r w:rsidRPr="000C7AA2">
                    <w:rPr>
                      <w:rFonts w:ascii="Times New Roman" w:eastAsia="Times New Roman" w:hAnsi="Times New Roman" w:cs="Times New Roman"/>
                      <w:i/>
                      <w:sz w:val="24"/>
                      <w:szCs w:val="24"/>
                    </w:rPr>
                    <w:t>. gadā.</w:t>
                  </w:r>
                </w:p>
                <w:p w:rsidR="00FA6C73" w:rsidRPr="000C7AA2" w:rsidRDefault="00FA6C73" w:rsidP="00FA6C73">
                  <w:pPr>
                    <w:pStyle w:val="ListParagraph"/>
                  </w:pPr>
                </w:p>
                <w:p w:rsidR="00531FEA" w:rsidRPr="000C7AA2" w:rsidRDefault="00531FEA" w:rsidP="00531FEA">
                  <w:pPr>
                    <w:spacing w:after="0" w:line="240" w:lineRule="auto"/>
                    <w:ind w:left="720"/>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 xml:space="preserve">Ēdināšanas izdevumi (EKK 2363) </w:t>
                  </w:r>
                  <w:r>
                    <w:rPr>
                      <w:rFonts w:ascii="Times New Roman" w:eastAsia="Times New Roman" w:hAnsi="Times New Roman" w:cs="Times New Roman"/>
                      <w:sz w:val="24"/>
                      <w:szCs w:val="24"/>
                    </w:rPr>
                    <w:t>12 460,37 </w:t>
                  </w:r>
                  <w:proofErr w:type="spellStart"/>
                  <w:r w:rsidRPr="003D3D9F">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w:t>
                  </w:r>
                </w:p>
                <w:p w:rsidR="00531FEA" w:rsidRPr="000C7AA2" w:rsidRDefault="00531FEA" w:rsidP="00531FEA">
                  <w:pPr>
                    <w:spacing w:after="0" w:line="240" w:lineRule="auto"/>
                    <w:ind w:left="695"/>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 x 1,34</w:t>
                  </w:r>
                  <w:r>
                    <w:rPr>
                      <w:rFonts w:ascii="Times New Roman" w:eastAsia="Times New Roman" w:hAnsi="Times New Roman" w:cs="Times New Roman"/>
                      <w:sz w:val="24"/>
                      <w:szCs w:val="24"/>
                    </w:rPr>
                    <w:t>2</w:t>
                  </w:r>
                  <w:r w:rsidRPr="000C7AA2">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4</w:t>
                  </w:r>
                  <w:r w:rsidRPr="000C7AA2">
                    <w:rPr>
                      <w:rFonts w:ascii="Times New Roman" w:eastAsia="Times New Roman" w:hAnsi="Times New Roman" w:cs="Times New Roman"/>
                      <w:sz w:val="24"/>
                      <w:szCs w:val="24"/>
                    </w:rPr>
                    <w:t xml:space="preserve"> x 1,668 + </w:t>
                  </w:r>
                  <w:r>
                    <w:rPr>
                      <w:rFonts w:ascii="Times New Roman" w:eastAsia="Times New Roman" w:hAnsi="Times New Roman" w:cs="Times New Roman"/>
                      <w:sz w:val="24"/>
                      <w:szCs w:val="24"/>
                    </w:rPr>
                    <w:t>6</w:t>
                  </w:r>
                  <w:r w:rsidRPr="000C7AA2">
                    <w:rPr>
                      <w:rFonts w:ascii="Times New Roman" w:eastAsia="Times New Roman" w:hAnsi="Times New Roman" w:cs="Times New Roman"/>
                      <w:sz w:val="24"/>
                      <w:szCs w:val="24"/>
                    </w:rPr>
                    <w:t xml:space="preserve"> x 4,</w:t>
                  </w:r>
                  <w:r>
                    <w:rPr>
                      <w:rFonts w:ascii="Times New Roman" w:eastAsia="Times New Roman" w:hAnsi="Times New Roman" w:cs="Times New Roman"/>
                      <w:sz w:val="24"/>
                      <w:szCs w:val="24"/>
                    </w:rPr>
                    <w:t>354</w:t>
                  </w:r>
                  <w:r w:rsidRPr="000C7AA2">
                    <w:rPr>
                      <w:rFonts w:ascii="Times New Roman" w:eastAsia="Times New Roman" w:hAnsi="Times New Roman" w:cs="Times New Roman"/>
                      <w:sz w:val="24"/>
                      <w:szCs w:val="24"/>
                    </w:rPr>
                    <w:t xml:space="preserve">) x 365 = </w:t>
                  </w:r>
                  <w:r>
                    <w:rPr>
                      <w:rFonts w:ascii="Times New Roman" w:eastAsia="Times New Roman" w:hAnsi="Times New Roman" w:cs="Times New Roman"/>
                      <w:sz w:val="24"/>
                      <w:szCs w:val="24"/>
                    </w:rPr>
                    <w:t>12 460,37 </w:t>
                  </w:r>
                  <w:proofErr w:type="spellStart"/>
                  <w:r w:rsidRPr="003D3D9F">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 kur</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w:t>
                  </w:r>
                  <w:r>
                    <w:rPr>
                      <w:rFonts w:ascii="Times New Roman" w:eastAsia="Times New Roman" w:hAnsi="Times New Roman" w:cs="Times New Roman"/>
                      <w:sz w:val="24"/>
                      <w:szCs w:val="24"/>
                    </w:rPr>
                    <w:t> </w:t>
                  </w:r>
                  <w:r w:rsidRPr="000C7AA2">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0C7AA2">
                    <w:rPr>
                      <w:rFonts w:ascii="Times New Roman" w:eastAsia="Times New Roman" w:hAnsi="Times New Roman" w:cs="Times New Roman"/>
                      <w:i/>
                      <w:sz w:val="24"/>
                      <w:szCs w:val="24"/>
                    </w:rPr>
                    <w:t>plānotais bērnu skaits vecumā no 0 līdz 3 mēnešiem</w:t>
                  </w:r>
                  <w:r>
                    <w:rPr>
                      <w:rFonts w:ascii="Times New Roman" w:eastAsia="Times New Roman" w:hAnsi="Times New Roman" w:cs="Times New Roman"/>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1,34</w:t>
                  </w:r>
                  <w:r>
                    <w:rPr>
                      <w:rFonts w:ascii="Times New Roman" w:eastAsia="Times New Roman" w:hAnsi="Times New Roman" w:cs="Times New Roman"/>
                      <w:sz w:val="24"/>
                      <w:szCs w:val="24"/>
                    </w:rPr>
                    <w:t>2</w:t>
                  </w:r>
                  <w:r w:rsidRPr="000C7AA2">
                    <w:rPr>
                      <w:rFonts w:ascii="Times New Roman" w:eastAsia="Times New Roman" w:hAnsi="Times New Roman" w:cs="Times New Roman"/>
                      <w:sz w:val="24"/>
                      <w:szCs w:val="24"/>
                    </w:rPr>
                    <w:t>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 – </w:t>
                  </w:r>
                  <w:r w:rsidRPr="000C7AA2">
                    <w:rPr>
                      <w:rFonts w:ascii="Times New Roman" w:eastAsia="Times New Roman" w:hAnsi="Times New Roman" w:cs="Times New Roman"/>
                      <w:i/>
                      <w:sz w:val="24"/>
                      <w:szCs w:val="24"/>
                    </w:rPr>
                    <w:t>ēdināšanas izdevumi dienā bērniem vecumā no 0 līdz 3 mēnešiem</w:t>
                  </w:r>
                  <w:r>
                    <w:rPr>
                      <w:rFonts w:ascii="Times New Roman" w:eastAsia="Times New Roman" w:hAnsi="Times New Roman" w:cs="Times New Roman"/>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C7AA2">
                    <w:rPr>
                      <w:rFonts w:ascii="Times New Roman" w:eastAsia="Times New Roman" w:hAnsi="Times New Roman" w:cs="Times New Roman"/>
                      <w:sz w:val="24"/>
                      <w:szCs w:val="24"/>
                    </w:rPr>
                    <w:t> - </w:t>
                  </w:r>
                  <w:r w:rsidRPr="000C7AA2">
                    <w:rPr>
                      <w:rFonts w:ascii="Times New Roman" w:eastAsia="Times New Roman" w:hAnsi="Times New Roman" w:cs="Times New Roman"/>
                      <w:i/>
                      <w:sz w:val="24"/>
                      <w:szCs w:val="24"/>
                    </w:rPr>
                    <w:t>plānotais bērnu skaits vecumā no 4 līdz 12 mēnešiem</w:t>
                  </w:r>
                  <w:r>
                    <w:rPr>
                      <w:rFonts w:ascii="Times New Roman" w:eastAsia="Times New Roman" w:hAnsi="Times New Roman" w:cs="Times New Roman"/>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1,668</w:t>
                  </w:r>
                  <w:r w:rsidRPr="000C7AA2">
                    <w:rPr>
                      <w:rFonts w:ascii="Times New Roman" w:eastAsia="Times New Roman" w:hAnsi="Times New Roman" w:cs="Times New Roman"/>
                      <w:i/>
                      <w:sz w:val="24"/>
                      <w:szCs w:val="24"/>
                    </w:rPr>
                    <w:t>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 – </w:t>
                  </w:r>
                  <w:r w:rsidRPr="000C7AA2">
                    <w:rPr>
                      <w:rFonts w:ascii="Times New Roman" w:eastAsia="Times New Roman" w:hAnsi="Times New Roman" w:cs="Times New Roman"/>
                      <w:i/>
                      <w:sz w:val="24"/>
                      <w:szCs w:val="24"/>
                    </w:rPr>
                    <w:t>ēdināšanas izdevumi dienā bērniem vecumā no 4 līdz 12 mēnešiem</w:t>
                  </w:r>
                  <w:r>
                    <w:rPr>
                      <w:rFonts w:ascii="Times New Roman" w:eastAsia="Times New Roman" w:hAnsi="Times New Roman" w:cs="Times New Roman"/>
                      <w:sz w:val="24"/>
                      <w:szCs w:val="24"/>
                    </w:rPr>
                    <w:t>;</w:t>
                  </w:r>
                </w:p>
                <w:p w:rsidR="00531FEA" w:rsidRPr="000C7AA2" w:rsidRDefault="00531FEA" w:rsidP="00531FEA">
                  <w:pPr>
                    <w:pStyle w:val="ListParagraph"/>
                  </w:pPr>
                  <w:r>
                    <w:t>6</w:t>
                  </w:r>
                  <w:r w:rsidRPr="000C7AA2">
                    <w:t> - </w:t>
                  </w:r>
                  <w:r w:rsidRPr="000C7AA2">
                    <w:rPr>
                      <w:i/>
                    </w:rPr>
                    <w:t>plānotais bērnu skaits vecumā no 1 līdz 4 gadiem</w:t>
                  </w:r>
                  <w:r>
                    <w:rPr>
                      <w:i/>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4,</w:t>
                  </w:r>
                  <w:r>
                    <w:rPr>
                      <w:rFonts w:ascii="Times New Roman" w:eastAsia="Times New Roman" w:hAnsi="Times New Roman" w:cs="Times New Roman"/>
                      <w:sz w:val="24"/>
                      <w:szCs w:val="24"/>
                    </w:rPr>
                    <w:t>354</w:t>
                  </w:r>
                  <w:r w:rsidRPr="000C7AA2">
                    <w:rPr>
                      <w:rFonts w:ascii="Times New Roman" w:eastAsia="Times New Roman" w:hAnsi="Times New Roman" w:cs="Times New Roman"/>
                      <w:i/>
                      <w:sz w:val="24"/>
                      <w:szCs w:val="24"/>
                    </w:rPr>
                    <w:t> </w:t>
                  </w:r>
                  <w:proofErr w:type="spellStart"/>
                  <w:r w:rsidRPr="000C7AA2">
                    <w:rPr>
                      <w:rFonts w:ascii="Times New Roman" w:eastAsia="Times New Roman" w:hAnsi="Times New Roman" w:cs="Times New Roman"/>
                      <w:i/>
                      <w:sz w:val="24"/>
                      <w:szCs w:val="24"/>
                    </w:rPr>
                    <w:t>euro</w:t>
                  </w:r>
                  <w:proofErr w:type="spellEnd"/>
                  <w:r w:rsidRPr="000C7AA2">
                    <w:rPr>
                      <w:rFonts w:ascii="Times New Roman" w:eastAsia="Times New Roman" w:hAnsi="Times New Roman" w:cs="Times New Roman"/>
                      <w:sz w:val="24"/>
                      <w:szCs w:val="24"/>
                    </w:rPr>
                    <w:t> – </w:t>
                  </w:r>
                  <w:r w:rsidRPr="000C7AA2">
                    <w:rPr>
                      <w:rFonts w:ascii="Times New Roman" w:eastAsia="Times New Roman" w:hAnsi="Times New Roman" w:cs="Times New Roman"/>
                      <w:i/>
                      <w:sz w:val="24"/>
                      <w:szCs w:val="24"/>
                    </w:rPr>
                    <w:t>ēdināšanas izdevumi dienā bērniem vecumā no 1 līdz 4 gadiem</w:t>
                  </w:r>
                  <w:r>
                    <w:rPr>
                      <w:rFonts w:ascii="Times New Roman" w:eastAsia="Times New Roman" w:hAnsi="Times New Roman" w:cs="Times New Roman"/>
                      <w:sz w:val="24"/>
                      <w:szCs w:val="24"/>
                    </w:rPr>
                    <w:t>;</w:t>
                  </w:r>
                </w:p>
                <w:p w:rsidR="00531FEA" w:rsidRPr="000C7AA2" w:rsidRDefault="00531FEA" w:rsidP="00531FEA">
                  <w:pPr>
                    <w:spacing w:after="0" w:line="240" w:lineRule="auto"/>
                    <w:ind w:left="720"/>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365 – </w:t>
                  </w:r>
                  <w:r w:rsidRPr="000C7AA2">
                    <w:rPr>
                      <w:rFonts w:ascii="Times New Roman" w:eastAsia="Times New Roman" w:hAnsi="Times New Roman" w:cs="Times New Roman"/>
                      <w:i/>
                      <w:sz w:val="24"/>
                      <w:szCs w:val="24"/>
                    </w:rPr>
                    <w:t>dienu skaits 201</w:t>
                  </w:r>
                  <w:r>
                    <w:rPr>
                      <w:rFonts w:ascii="Times New Roman" w:eastAsia="Times New Roman" w:hAnsi="Times New Roman" w:cs="Times New Roman"/>
                      <w:i/>
                      <w:sz w:val="24"/>
                      <w:szCs w:val="24"/>
                    </w:rPr>
                    <w:t>5</w:t>
                  </w:r>
                  <w:r w:rsidRPr="000C7AA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w:t>
                  </w:r>
                  <w:r w:rsidRPr="000C7AA2">
                    <w:rPr>
                      <w:rFonts w:ascii="Times New Roman" w:eastAsia="Times New Roman" w:hAnsi="Times New Roman" w:cs="Times New Roman"/>
                      <w:i/>
                      <w:sz w:val="24"/>
                      <w:szCs w:val="24"/>
                    </w:rPr>
                    <w:t>gadā</w:t>
                  </w:r>
                  <w:r w:rsidRPr="000C7AA2">
                    <w:rPr>
                      <w:rFonts w:ascii="Times New Roman" w:eastAsia="Times New Roman" w:hAnsi="Times New Roman" w:cs="Times New Roman"/>
                      <w:sz w:val="24"/>
                      <w:szCs w:val="24"/>
                    </w:rPr>
                    <w:t>.</w:t>
                  </w:r>
                </w:p>
                <w:p w:rsidR="00605B4D" w:rsidRPr="000C7AA2" w:rsidRDefault="00605B4D" w:rsidP="00531FEA">
                  <w:pPr>
                    <w:spacing w:after="0" w:line="240" w:lineRule="auto"/>
                    <w:ind w:left="720"/>
                    <w:rPr>
                      <w:rFonts w:ascii="Times New Roman" w:eastAsia="Times New Roman" w:hAnsi="Times New Roman" w:cs="Times New Roman"/>
                      <w:sz w:val="24"/>
                      <w:szCs w:val="24"/>
                    </w:rPr>
                  </w:pPr>
                </w:p>
              </w:tc>
            </w:tr>
            <w:tr w:rsidR="00605B4D" w:rsidRPr="000C7AA2" w:rsidTr="00154D0E">
              <w:trPr>
                <w:trHeight w:val="469"/>
                <w:tblCellSpacing w:w="15" w:type="dxa"/>
              </w:trPr>
              <w:tc>
                <w:tcPr>
                  <w:tcW w:w="681" w:type="pct"/>
                  <w:tcBorders>
                    <w:top w:val="outset" w:sz="6" w:space="0" w:color="auto"/>
                    <w:left w:val="outset" w:sz="6" w:space="0" w:color="auto"/>
                    <w:right w:val="outset" w:sz="6" w:space="0" w:color="auto"/>
                  </w:tcBorders>
                </w:tcPr>
                <w:p w:rsidR="00605B4D" w:rsidRPr="000C7AA2" w:rsidRDefault="00605B4D" w:rsidP="00FA6C73">
                  <w:pPr>
                    <w:pStyle w:val="NormalWeb"/>
                  </w:pPr>
                </w:p>
              </w:tc>
              <w:tc>
                <w:tcPr>
                  <w:tcW w:w="4272" w:type="pct"/>
                  <w:vMerge/>
                  <w:tcBorders>
                    <w:top w:val="outset" w:sz="6" w:space="0" w:color="auto"/>
                    <w:left w:val="outset" w:sz="6" w:space="0" w:color="auto"/>
                    <w:bottom w:val="outset" w:sz="6" w:space="0" w:color="auto"/>
                    <w:right w:val="outset" w:sz="6" w:space="0" w:color="auto"/>
                  </w:tcBorders>
                </w:tcPr>
                <w:p w:rsidR="00605B4D" w:rsidRPr="000C7AA2" w:rsidRDefault="00605B4D" w:rsidP="00FA6C73">
                  <w:pPr>
                    <w:rPr>
                      <w:rFonts w:ascii="Times New Roman" w:eastAsia="Times New Roman" w:hAnsi="Times New Roman" w:cs="Times New Roman"/>
                      <w:sz w:val="24"/>
                      <w:szCs w:val="24"/>
                    </w:rPr>
                  </w:pPr>
                </w:p>
              </w:tc>
            </w:tr>
            <w:tr w:rsidR="00605B4D" w:rsidRPr="000C7AA2" w:rsidTr="00154D0E">
              <w:trPr>
                <w:trHeight w:val="547"/>
                <w:tblCellSpacing w:w="15" w:type="dxa"/>
              </w:trPr>
              <w:tc>
                <w:tcPr>
                  <w:tcW w:w="681" w:type="pct"/>
                  <w:tcBorders>
                    <w:top w:val="outset" w:sz="6" w:space="0" w:color="auto"/>
                    <w:left w:val="outset" w:sz="6" w:space="0" w:color="auto"/>
                    <w:bottom w:val="outset" w:sz="6" w:space="0" w:color="auto"/>
                    <w:right w:val="outset" w:sz="6" w:space="0" w:color="auto"/>
                  </w:tcBorders>
                </w:tcPr>
                <w:p w:rsidR="00605B4D" w:rsidRPr="000C7AA2" w:rsidRDefault="00605B4D" w:rsidP="00FA6C73">
                  <w:pPr>
                    <w:pStyle w:val="NormalWeb"/>
                  </w:pPr>
                  <w:r w:rsidRPr="000C7AA2">
                    <w:lastRenderedPageBreak/>
                    <w:t>7. Cita informācija</w:t>
                  </w:r>
                </w:p>
              </w:tc>
              <w:tc>
                <w:tcPr>
                  <w:tcW w:w="4272" w:type="pct"/>
                  <w:tcBorders>
                    <w:top w:val="outset" w:sz="6" w:space="0" w:color="auto"/>
                    <w:left w:val="outset" w:sz="6" w:space="0" w:color="auto"/>
                    <w:bottom w:val="outset" w:sz="6" w:space="0" w:color="auto"/>
                    <w:right w:val="outset" w:sz="6" w:space="0" w:color="auto"/>
                  </w:tcBorders>
                </w:tcPr>
                <w:p w:rsidR="00605B4D" w:rsidRPr="000C7AA2" w:rsidRDefault="00093074" w:rsidP="00531FEA">
                  <w:pPr>
                    <w:jc w:val="both"/>
                    <w:rPr>
                      <w:rFonts w:ascii="Times New Roman" w:eastAsia="Times New Roman" w:hAnsi="Times New Roman" w:cs="Times New Roman"/>
                      <w:sz w:val="24"/>
                      <w:szCs w:val="24"/>
                    </w:rPr>
                  </w:pPr>
                  <w:r w:rsidRPr="000C7AA2">
                    <w:rPr>
                      <w:rFonts w:ascii="Times New Roman" w:eastAsia="Times New Roman" w:hAnsi="Times New Roman" w:cs="Times New Roman"/>
                      <w:sz w:val="24"/>
                      <w:szCs w:val="24"/>
                    </w:rPr>
                    <w:t>Lai nodrošinātu bērnu apgādi, kuri kopā ar apcietināto vai notiesāto māti uzturas ieslodzījuma vietā, 201</w:t>
                  </w:r>
                  <w:r w:rsidR="00531FEA">
                    <w:rPr>
                      <w:rFonts w:ascii="Times New Roman" w:eastAsia="Times New Roman" w:hAnsi="Times New Roman" w:cs="Times New Roman"/>
                      <w:sz w:val="24"/>
                      <w:szCs w:val="24"/>
                    </w:rPr>
                    <w:t>5</w:t>
                  </w:r>
                  <w:r w:rsidRPr="000C7AA2">
                    <w:rPr>
                      <w:rFonts w:ascii="Times New Roman" w:eastAsia="Times New Roman" w:hAnsi="Times New Roman" w:cs="Times New Roman"/>
                      <w:sz w:val="24"/>
                      <w:szCs w:val="24"/>
                    </w:rPr>
                    <w:t>. gadā un turpmāk, papildu valsts budžeta līdzekļu piešķiršana Tieslietu ministrijai Noteikumu projekta īstenošanai nav nepieciešama.</w:t>
                  </w:r>
                </w:p>
              </w:tc>
            </w:tr>
          </w:tbl>
          <w:p w:rsidR="00605B4D" w:rsidRPr="000C7AA2" w:rsidRDefault="00605B4D" w:rsidP="00B903E9">
            <w:pPr>
              <w:rPr>
                <w:rFonts w:ascii="Times New Roman" w:eastAsia="Times New Roman" w:hAnsi="Times New Roman" w:cs="Times New Roman"/>
                <w:color w:val="414142"/>
                <w:sz w:val="24"/>
                <w:szCs w:val="24"/>
                <w:lang w:eastAsia="lv-LV"/>
              </w:rPr>
            </w:pPr>
          </w:p>
        </w:tc>
      </w:tr>
      <w:tr w:rsidR="006025B1" w:rsidRPr="00D930F7" w:rsidTr="00847E37">
        <w:trPr>
          <w:trHeight w:val="420"/>
        </w:trPr>
        <w:tc>
          <w:tcPr>
            <w:tcW w:w="5000" w:type="pct"/>
            <w:gridSpan w:val="5"/>
            <w:tcBorders>
              <w:top w:val="outset" w:sz="6" w:space="0" w:color="414142"/>
              <w:left w:val="outset" w:sz="6" w:space="0" w:color="414142"/>
              <w:bottom w:val="outset" w:sz="6" w:space="0" w:color="414142"/>
              <w:right w:val="outset" w:sz="6" w:space="0" w:color="414142"/>
            </w:tcBorders>
            <w:vAlign w:val="center"/>
            <w:hideMark/>
          </w:tcPr>
          <w:p w:rsidR="006025B1" w:rsidRPr="00D930F7" w:rsidRDefault="006025B1" w:rsidP="006607CF">
            <w:pPr>
              <w:spacing w:after="0" w:line="240" w:lineRule="auto"/>
              <w:ind w:firstLine="300"/>
              <w:jc w:val="center"/>
              <w:rPr>
                <w:rFonts w:ascii="Times New Roman" w:eastAsia="Times New Roman" w:hAnsi="Times New Roman" w:cs="Times New Roman"/>
                <w:b/>
                <w:bCs/>
                <w:sz w:val="24"/>
                <w:szCs w:val="24"/>
                <w:lang w:eastAsia="lv-LV"/>
              </w:rPr>
            </w:pPr>
            <w:r w:rsidRPr="00D930F7">
              <w:rPr>
                <w:rFonts w:ascii="Times New Roman" w:eastAsia="Times New Roman" w:hAnsi="Times New Roman" w:cs="Times New Roman"/>
                <w:b/>
                <w:bCs/>
                <w:sz w:val="24"/>
                <w:szCs w:val="24"/>
                <w:lang w:eastAsia="lv-LV"/>
              </w:rPr>
              <w:lastRenderedPageBreak/>
              <w:t>VI. Sabiedrības līdzdalība un komunikācijas aktivitātes</w:t>
            </w:r>
          </w:p>
        </w:tc>
      </w:tr>
      <w:tr w:rsidR="006025B1" w:rsidRPr="00D930F7" w:rsidTr="00847E37">
        <w:trPr>
          <w:trHeight w:val="540"/>
        </w:trPr>
        <w:tc>
          <w:tcPr>
            <w:tcW w:w="152"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467"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Plānotās sabiedrības līdzdalības un komunikācijas aktivitātes saistībā ar projektu</w:t>
            </w:r>
          </w:p>
        </w:tc>
        <w:tc>
          <w:tcPr>
            <w:tcW w:w="3381" w:type="pct"/>
            <w:gridSpan w:val="2"/>
            <w:tcBorders>
              <w:top w:val="outset" w:sz="6" w:space="0" w:color="414142"/>
              <w:left w:val="outset" w:sz="6" w:space="0" w:color="414142"/>
              <w:bottom w:val="outset" w:sz="6" w:space="0" w:color="414142"/>
              <w:right w:val="outset" w:sz="6" w:space="0" w:color="414142"/>
            </w:tcBorders>
            <w:hideMark/>
          </w:tcPr>
          <w:p w:rsidR="00154D0E" w:rsidRDefault="00154D0E" w:rsidP="006229E6">
            <w:pPr>
              <w:spacing w:after="0" w:line="240" w:lineRule="auto"/>
              <w:jc w:val="both"/>
              <w:rPr>
                <w:rFonts w:ascii="Times New Roman" w:eastAsia="Times New Roman" w:hAnsi="Times New Roman" w:cs="Times New Roman"/>
                <w:sz w:val="24"/>
                <w:szCs w:val="24"/>
                <w:lang w:eastAsia="lv-LV"/>
              </w:rPr>
            </w:pPr>
            <w:r>
              <w:rPr>
                <w:rFonts w:ascii="Times New Roman" w:hAnsi="Times New Roman"/>
                <w:sz w:val="24"/>
                <w:szCs w:val="24"/>
                <w:lang w:eastAsia="lv-LV"/>
              </w:rPr>
              <w:t>Saskaņā ar Ministru kabineta 2009.gada 25.augusta noteikumu Nr.970 „Sabiedrības līdzdalības kārtība attīstības plānošanas procesā” (turpmāk – noteikumi Nr.970) 7.4.</w:t>
            </w:r>
            <w:r w:rsidRPr="00335AF7">
              <w:rPr>
                <w:rFonts w:ascii="Times New Roman" w:hAnsi="Times New Roman"/>
                <w:sz w:val="24"/>
                <w:szCs w:val="24"/>
                <w:vertAlign w:val="superscript"/>
                <w:lang w:eastAsia="lv-LV"/>
              </w:rPr>
              <w:t>1</w:t>
            </w:r>
            <w:r>
              <w:rPr>
                <w:rFonts w:ascii="Times New Roman" w:hAnsi="Times New Roman"/>
                <w:sz w:val="24"/>
                <w:szCs w:val="24"/>
                <w:lang w:eastAsia="lv-LV"/>
              </w:rPr>
              <w:t xml:space="preserve"> apakšpunktu sabiedrības pārstāvji ir aicināti līdzdarboties rakstiski sniedzot viedokli par noteikumu projektu tā izstrādes stadijā. Sabiedrības pārstāvji ir informēti par iespēju līdzdarboties noteikumos Nr.970 noteiktajā kārtībā, publicējot pazi</w:t>
            </w:r>
            <w:r w:rsidR="00D04206">
              <w:rPr>
                <w:rFonts w:ascii="Times New Roman" w:hAnsi="Times New Roman"/>
                <w:sz w:val="24"/>
                <w:szCs w:val="24"/>
                <w:lang w:eastAsia="lv-LV"/>
              </w:rPr>
              <w:t>ņojumu par līdzdalības procesu Ieslodzījuma vietu p</w:t>
            </w:r>
            <w:r>
              <w:rPr>
                <w:rFonts w:ascii="Times New Roman" w:hAnsi="Times New Roman"/>
                <w:sz w:val="24"/>
                <w:szCs w:val="24"/>
                <w:lang w:eastAsia="lv-LV"/>
              </w:rPr>
              <w:t xml:space="preserve">ārvaldes mājaslapas </w:t>
            </w:r>
            <w:proofErr w:type="spellStart"/>
            <w:r>
              <w:rPr>
                <w:rFonts w:ascii="Times New Roman" w:hAnsi="Times New Roman"/>
                <w:sz w:val="24"/>
                <w:szCs w:val="24"/>
                <w:lang w:eastAsia="lv-LV"/>
              </w:rPr>
              <w:t>www.ievp.gov</w:t>
            </w:r>
            <w:r w:rsidRPr="00E35C02">
              <w:rPr>
                <w:rFonts w:ascii="Times New Roman" w:hAnsi="Times New Roman"/>
                <w:sz w:val="24"/>
                <w:szCs w:val="24"/>
                <w:lang w:eastAsia="lv-LV"/>
              </w:rPr>
              <w:t>.lv</w:t>
            </w:r>
            <w:proofErr w:type="spellEnd"/>
            <w:r>
              <w:rPr>
                <w:rFonts w:ascii="Times New Roman" w:hAnsi="Times New Roman"/>
                <w:sz w:val="24"/>
                <w:szCs w:val="24"/>
                <w:lang w:eastAsia="lv-LV"/>
              </w:rPr>
              <w:t xml:space="preserve"> sadaļā „Sabiedriskā līdzdalība”, Valsts kancelejas un Tieslietu ministrijas mājaslapā. Noteikumu projekta un tā sākotnējās ietekmes novērtējuma ziņojums (anotācija)</w:t>
            </w:r>
            <w:r w:rsidR="00D04206">
              <w:rPr>
                <w:rFonts w:ascii="Times New Roman" w:hAnsi="Times New Roman"/>
                <w:sz w:val="24"/>
                <w:szCs w:val="24"/>
                <w:lang w:eastAsia="lv-LV"/>
              </w:rPr>
              <w:t xml:space="preserve"> ir publicēta Ieslodzījuma vietu p</w:t>
            </w:r>
            <w:r>
              <w:rPr>
                <w:rFonts w:ascii="Times New Roman" w:hAnsi="Times New Roman"/>
                <w:sz w:val="24"/>
                <w:szCs w:val="24"/>
                <w:lang w:eastAsia="lv-LV"/>
              </w:rPr>
              <w:t xml:space="preserve">ārvaldes mājaslapas </w:t>
            </w:r>
            <w:proofErr w:type="spellStart"/>
            <w:r>
              <w:rPr>
                <w:rFonts w:ascii="Times New Roman" w:hAnsi="Times New Roman"/>
                <w:sz w:val="24"/>
                <w:szCs w:val="24"/>
                <w:lang w:eastAsia="lv-LV"/>
              </w:rPr>
              <w:t>www.ievp.gov</w:t>
            </w:r>
            <w:r w:rsidRPr="00E35C02">
              <w:rPr>
                <w:rFonts w:ascii="Times New Roman" w:hAnsi="Times New Roman"/>
                <w:sz w:val="24"/>
                <w:szCs w:val="24"/>
                <w:lang w:eastAsia="lv-LV"/>
              </w:rPr>
              <w:t>.lv</w:t>
            </w:r>
            <w:proofErr w:type="spellEnd"/>
            <w:r>
              <w:rPr>
                <w:rFonts w:ascii="Times New Roman" w:hAnsi="Times New Roman"/>
                <w:sz w:val="24"/>
                <w:szCs w:val="24"/>
                <w:lang w:eastAsia="lv-LV"/>
              </w:rPr>
              <w:t xml:space="preserve"> sadaļā „Sabiedrības līdzdalība” līdz ar paziņojuma par līdzdalības iespējām tiesību akta izstrādes procesā izsludināšanu.</w:t>
            </w:r>
          </w:p>
          <w:p w:rsidR="00154D0E" w:rsidRPr="00D930F7" w:rsidRDefault="00154D0E" w:rsidP="003671D9">
            <w:pPr>
              <w:spacing w:after="0" w:line="240" w:lineRule="auto"/>
              <w:rPr>
                <w:rFonts w:ascii="Times New Roman" w:eastAsia="Times New Roman" w:hAnsi="Times New Roman" w:cs="Times New Roman"/>
                <w:sz w:val="24"/>
                <w:szCs w:val="24"/>
                <w:lang w:eastAsia="lv-LV"/>
              </w:rPr>
            </w:pPr>
          </w:p>
        </w:tc>
      </w:tr>
      <w:tr w:rsidR="006025B1" w:rsidRPr="00D930F7" w:rsidTr="00847E37">
        <w:trPr>
          <w:trHeight w:val="330"/>
        </w:trPr>
        <w:tc>
          <w:tcPr>
            <w:tcW w:w="152"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467"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Sabiedrības līdzdalība projekta izstrādē</w:t>
            </w:r>
          </w:p>
        </w:tc>
        <w:tc>
          <w:tcPr>
            <w:tcW w:w="3381"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6229E6" w:rsidP="006229E6">
            <w:pPr>
              <w:pStyle w:val="CommentText"/>
              <w:spacing w:after="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un tā sākotnējās ietekmes izvērtējuma z</w:t>
            </w:r>
            <w:r w:rsidR="00FC2848">
              <w:rPr>
                <w:rFonts w:ascii="Times New Roman" w:eastAsia="Times New Roman" w:hAnsi="Times New Roman" w:cs="Times New Roman"/>
                <w:sz w:val="24"/>
                <w:szCs w:val="24"/>
                <w:lang w:eastAsia="lv-LV"/>
              </w:rPr>
              <w:t>iņojums (anotācija) 2015.gada 6.martā</w:t>
            </w:r>
            <w:r>
              <w:rPr>
                <w:rFonts w:ascii="Times New Roman" w:eastAsia="Times New Roman" w:hAnsi="Times New Roman" w:cs="Times New Roman"/>
                <w:sz w:val="24"/>
                <w:szCs w:val="24"/>
                <w:lang w:eastAsia="lv-LV"/>
              </w:rPr>
              <w:t xml:space="preserve"> tika ievietots Ieslodzījuma vietu pārvaldes tīmekļa vietnē.</w:t>
            </w:r>
          </w:p>
        </w:tc>
      </w:tr>
      <w:tr w:rsidR="006025B1" w:rsidRPr="00D930F7" w:rsidTr="00847E37">
        <w:trPr>
          <w:trHeight w:val="465"/>
        </w:trPr>
        <w:tc>
          <w:tcPr>
            <w:tcW w:w="152"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467"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Sabiedrības līdzdalības rezultāti</w:t>
            </w:r>
          </w:p>
        </w:tc>
        <w:tc>
          <w:tcPr>
            <w:tcW w:w="3381"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p>
        </w:tc>
      </w:tr>
      <w:tr w:rsidR="006025B1" w:rsidRPr="00D930F7" w:rsidTr="00847E37">
        <w:trPr>
          <w:trHeight w:val="465"/>
        </w:trPr>
        <w:tc>
          <w:tcPr>
            <w:tcW w:w="152"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lastRenderedPageBreak/>
              <w:t>4.</w:t>
            </w:r>
          </w:p>
        </w:tc>
        <w:tc>
          <w:tcPr>
            <w:tcW w:w="1467"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3381" w:type="pct"/>
            <w:gridSpan w:val="2"/>
            <w:tcBorders>
              <w:top w:val="outset" w:sz="6" w:space="0" w:color="414142"/>
              <w:left w:val="outset" w:sz="6" w:space="0" w:color="414142"/>
              <w:bottom w:val="outset" w:sz="6" w:space="0" w:color="414142"/>
              <w:right w:val="outset" w:sz="6" w:space="0" w:color="414142"/>
            </w:tcBorders>
            <w:hideMark/>
          </w:tcPr>
          <w:p w:rsidR="006025B1" w:rsidRPr="00D930F7" w:rsidRDefault="000D5968" w:rsidP="000D5968">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sidR="00AA1BFB">
              <w:rPr>
                <w:rFonts w:ascii="Times New Roman" w:eastAsia="Times New Roman" w:hAnsi="Times New Roman" w:cs="Times New Roman"/>
                <w:sz w:val="24"/>
                <w:szCs w:val="24"/>
                <w:lang w:eastAsia="lv-LV"/>
              </w:rPr>
              <w:t>.</w:t>
            </w:r>
          </w:p>
        </w:tc>
      </w:tr>
    </w:tbl>
    <w:p w:rsidR="006025B1" w:rsidRPr="00D930F7" w:rsidRDefault="006025B1" w:rsidP="006025B1">
      <w:pPr>
        <w:spacing w:after="0" w:line="240" w:lineRule="auto"/>
        <w:rPr>
          <w:rFonts w:ascii="Times New Roman" w:eastAsia="Times New Roman" w:hAnsi="Times New Roman" w:cs="Times New Roman"/>
          <w:sz w:val="24"/>
          <w:szCs w:val="24"/>
          <w:lang w:eastAsia="lv-LV"/>
        </w:rPr>
      </w:pPr>
    </w:p>
    <w:tbl>
      <w:tblPr>
        <w:tblW w:w="5200"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281"/>
        <w:gridCol w:w="3464"/>
        <w:gridCol w:w="5751"/>
      </w:tblGrid>
      <w:tr w:rsidR="006025B1" w:rsidRPr="00D930F7" w:rsidTr="00847E37">
        <w:trPr>
          <w:trHeight w:val="37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025B1" w:rsidRPr="00D930F7" w:rsidRDefault="006025B1" w:rsidP="006607CF">
            <w:pPr>
              <w:spacing w:after="0" w:line="240" w:lineRule="auto"/>
              <w:ind w:firstLine="300"/>
              <w:jc w:val="center"/>
              <w:rPr>
                <w:rFonts w:ascii="Times New Roman" w:eastAsia="Times New Roman" w:hAnsi="Times New Roman" w:cs="Times New Roman"/>
                <w:b/>
                <w:bCs/>
                <w:sz w:val="24"/>
                <w:szCs w:val="24"/>
                <w:lang w:eastAsia="lv-LV"/>
              </w:rPr>
            </w:pPr>
            <w:r w:rsidRPr="00D930F7">
              <w:rPr>
                <w:rFonts w:ascii="Times New Roman" w:eastAsia="Times New Roman" w:hAnsi="Times New Roman" w:cs="Times New Roman"/>
                <w:b/>
                <w:bCs/>
                <w:sz w:val="24"/>
                <w:szCs w:val="24"/>
                <w:lang w:eastAsia="lv-LV"/>
              </w:rPr>
              <w:t>VII. Tiesību akta projekta izpildes nodrošināšana un tās ietekme uz institūcijām</w:t>
            </w:r>
          </w:p>
        </w:tc>
      </w:tr>
      <w:tr w:rsidR="006025B1" w:rsidRPr="00D930F7" w:rsidTr="00847E37">
        <w:trPr>
          <w:trHeight w:val="420"/>
        </w:trPr>
        <w:tc>
          <w:tcPr>
            <w:tcW w:w="148"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824"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Projekta izpildē iesaistītās institūcijas</w:t>
            </w:r>
          </w:p>
        </w:tc>
        <w:tc>
          <w:tcPr>
            <w:tcW w:w="3028" w:type="pct"/>
            <w:tcBorders>
              <w:top w:val="outset" w:sz="6" w:space="0" w:color="414142"/>
              <w:left w:val="outset" w:sz="6" w:space="0" w:color="414142"/>
              <w:bottom w:val="outset" w:sz="6" w:space="0" w:color="414142"/>
              <w:right w:val="outset" w:sz="6" w:space="0" w:color="414142"/>
            </w:tcBorders>
            <w:hideMark/>
          </w:tcPr>
          <w:p w:rsidR="006025B1" w:rsidRPr="00D930F7" w:rsidRDefault="00EB67AE" w:rsidP="00EB67AE">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Tieslietu ministrija</w:t>
            </w:r>
            <w:r>
              <w:rPr>
                <w:rFonts w:ascii="Times New Roman" w:eastAsia="Times New Roman" w:hAnsi="Times New Roman" w:cs="Times New Roman"/>
                <w:sz w:val="24"/>
                <w:szCs w:val="24"/>
                <w:lang w:eastAsia="lv-LV"/>
              </w:rPr>
              <w:t>,</w:t>
            </w:r>
            <w:r w:rsidRPr="00D930F7">
              <w:rPr>
                <w:rFonts w:ascii="Times New Roman" w:eastAsia="Times New Roman" w:hAnsi="Times New Roman" w:cs="Times New Roman"/>
                <w:sz w:val="24"/>
                <w:szCs w:val="24"/>
                <w:lang w:eastAsia="lv-LV"/>
              </w:rPr>
              <w:t xml:space="preserve"> </w:t>
            </w:r>
            <w:r w:rsidR="00FD455D" w:rsidRPr="00D930F7">
              <w:rPr>
                <w:rFonts w:ascii="Times New Roman" w:eastAsia="Times New Roman" w:hAnsi="Times New Roman" w:cs="Times New Roman"/>
                <w:sz w:val="24"/>
                <w:szCs w:val="24"/>
                <w:lang w:eastAsia="lv-LV"/>
              </w:rPr>
              <w:t>Ieslodzījuma vietu pārvalde</w:t>
            </w:r>
            <w:r>
              <w:rPr>
                <w:rFonts w:ascii="Times New Roman" w:eastAsia="Times New Roman" w:hAnsi="Times New Roman" w:cs="Times New Roman"/>
                <w:sz w:val="24"/>
                <w:szCs w:val="24"/>
                <w:lang w:eastAsia="lv-LV"/>
              </w:rPr>
              <w:t>.</w:t>
            </w:r>
          </w:p>
        </w:tc>
      </w:tr>
      <w:tr w:rsidR="006025B1" w:rsidRPr="00D930F7" w:rsidTr="00847E37">
        <w:trPr>
          <w:trHeight w:val="450"/>
        </w:trPr>
        <w:tc>
          <w:tcPr>
            <w:tcW w:w="148"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824"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 xml:space="preserve">Projekta izpildes ietekme uz pārvaldes funkcijām un institucionālo struktūru. </w:t>
            </w:r>
          </w:p>
          <w:p w:rsidR="006025B1" w:rsidRPr="00D930F7" w:rsidRDefault="006025B1" w:rsidP="006607CF">
            <w:pPr>
              <w:spacing w:after="0" w:line="240" w:lineRule="auto"/>
              <w:ind w:firstLine="300"/>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3028" w:type="pct"/>
            <w:tcBorders>
              <w:top w:val="outset" w:sz="6" w:space="0" w:color="414142"/>
              <w:left w:val="outset" w:sz="6" w:space="0" w:color="414142"/>
              <w:bottom w:val="outset" w:sz="6" w:space="0" w:color="414142"/>
              <w:right w:val="outset" w:sz="6" w:space="0" w:color="414142"/>
            </w:tcBorders>
            <w:hideMark/>
          </w:tcPr>
          <w:p w:rsidR="006025B1" w:rsidRPr="00D930F7" w:rsidRDefault="00424553" w:rsidP="00136C77">
            <w:pPr>
              <w:spacing w:after="0" w:line="240" w:lineRule="auto"/>
              <w:jc w:val="both"/>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Noteikumu projekts neparedz mainīt iestāžu funkcijas, izveidot jaunas institūcijas, likvidēt vai reorganizēt esoš</w:t>
            </w:r>
            <w:r w:rsidR="00D930F7" w:rsidRPr="00D930F7">
              <w:rPr>
                <w:rFonts w:ascii="Times New Roman" w:eastAsia="Times New Roman" w:hAnsi="Times New Roman" w:cs="Times New Roman"/>
                <w:sz w:val="24"/>
                <w:szCs w:val="24"/>
                <w:lang w:eastAsia="lv-LV"/>
              </w:rPr>
              <w:t>ā</w:t>
            </w:r>
            <w:r w:rsidRPr="00D930F7">
              <w:rPr>
                <w:rFonts w:ascii="Times New Roman" w:eastAsia="Times New Roman" w:hAnsi="Times New Roman" w:cs="Times New Roman"/>
                <w:sz w:val="24"/>
                <w:szCs w:val="24"/>
                <w:lang w:eastAsia="lv-LV"/>
              </w:rPr>
              <w:t>s institūcijas</w:t>
            </w:r>
            <w:r w:rsidR="00AA1BFB">
              <w:rPr>
                <w:rFonts w:ascii="Times New Roman" w:eastAsia="Times New Roman" w:hAnsi="Times New Roman" w:cs="Times New Roman"/>
                <w:sz w:val="24"/>
                <w:szCs w:val="24"/>
                <w:lang w:eastAsia="lv-LV"/>
              </w:rPr>
              <w:t>.</w:t>
            </w:r>
          </w:p>
        </w:tc>
      </w:tr>
      <w:tr w:rsidR="006025B1" w:rsidRPr="00D930F7" w:rsidTr="00847E37">
        <w:trPr>
          <w:trHeight w:val="390"/>
        </w:trPr>
        <w:tc>
          <w:tcPr>
            <w:tcW w:w="148"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824" w:type="pct"/>
            <w:tcBorders>
              <w:top w:val="outset" w:sz="6" w:space="0" w:color="414142"/>
              <w:left w:val="outset" w:sz="6" w:space="0" w:color="414142"/>
              <w:bottom w:val="outset" w:sz="6" w:space="0" w:color="414142"/>
              <w:right w:val="outset" w:sz="6" w:space="0" w:color="414142"/>
            </w:tcBorders>
            <w:hideMark/>
          </w:tcPr>
          <w:p w:rsidR="006025B1" w:rsidRPr="00D930F7" w:rsidRDefault="006025B1" w:rsidP="006607CF">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3028" w:type="pct"/>
            <w:tcBorders>
              <w:top w:val="outset" w:sz="6" w:space="0" w:color="414142"/>
              <w:left w:val="outset" w:sz="6" w:space="0" w:color="414142"/>
              <w:bottom w:val="outset" w:sz="6" w:space="0" w:color="414142"/>
              <w:right w:val="outset" w:sz="6" w:space="0" w:color="414142"/>
            </w:tcBorders>
            <w:hideMark/>
          </w:tcPr>
          <w:p w:rsidR="006025B1" w:rsidRPr="00D930F7" w:rsidRDefault="00424553" w:rsidP="00424553">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w:t>
            </w:r>
            <w:r w:rsidR="00410050" w:rsidRPr="00D930F7">
              <w:rPr>
                <w:rFonts w:ascii="Times New Roman" w:eastAsia="Times New Roman" w:hAnsi="Times New Roman" w:cs="Times New Roman"/>
                <w:sz w:val="24"/>
                <w:szCs w:val="24"/>
                <w:lang w:eastAsia="lv-LV"/>
              </w:rPr>
              <w:t>av</w:t>
            </w:r>
            <w:r w:rsidR="00AA1BFB">
              <w:rPr>
                <w:rFonts w:ascii="Times New Roman" w:eastAsia="Times New Roman" w:hAnsi="Times New Roman" w:cs="Times New Roman"/>
                <w:sz w:val="24"/>
                <w:szCs w:val="24"/>
                <w:lang w:eastAsia="lv-LV"/>
              </w:rPr>
              <w:t>.</w:t>
            </w:r>
          </w:p>
        </w:tc>
      </w:tr>
    </w:tbl>
    <w:p w:rsidR="002A2E8F" w:rsidRPr="00D930F7" w:rsidRDefault="002A2E8F" w:rsidP="00DA596D">
      <w:pPr>
        <w:spacing w:after="0" w:line="240" w:lineRule="auto"/>
        <w:rPr>
          <w:rFonts w:ascii="Times New Roman" w:eastAsia="Times New Roman" w:hAnsi="Times New Roman" w:cs="Times New Roman"/>
          <w:sz w:val="24"/>
          <w:szCs w:val="24"/>
          <w:lang w:eastAsia="lv-LV"/>
        </w:rPr>
      </w:pPr>
    </w:p>
    <w:p w:rsidR="006025B1" w:rsidRPr="00D930F7" w:rsidRDefault="006025B1" w:rsidP="00DA596D">
      <w:pPr>
        <w:spacing w:after="0" w:line="240" w:lineRule="auto"/>
        <w:rPr>
          <w:rFonts w:ascii="Times New Roman" w:eastAsia="Times New Roman" w:hAnsi="Times New Roman" w:cs="Times New Roman"/>
          <w:sz w:val="24"/>
          <w:szCs w:val="24"/>
          <w:lang w:eastAsia="lv-LV"/>
        </w:rPr>
      </w:pPr>
    </w:p>
    <w:p w:rsidR="006025B1" w:rsidRPr="00D930F7" w:rsidRDefault="006025B1" w:rsidP="00DA596D">
      <w:pPr>
        <w:spacing w:after="0" w:line="240" w:lineRule="auto"/>
        <w:rPr>
          <w:rFonts w:ascii="Times New Roman" w:eastAsia="Times New Roman" w:hAnsi="Times New Roman" w:cs="Times New Roman"/>
          <w:vanish/>
          <w:sz w:val="24"/>
          <w:szCs w:val="24"/>
          <w:lang w:eastAsia="lv-LV"/>
        </w:rPr>
      </w:pPr>
    </w:p>
    <w:p w:rsidR="00E13CDB" w:rsidRPr="00D930F7" w:rsidRDefault="00847E37" w:rsidP="00E13CDB">
      <w:pPr>
        <w:spacing w:after="0" w:line="240" w:lineRule="auto"/>
        <w:rPr>
          <w:rFonts w:ascii="Times New Roman" w:hAnsi="Times New Roman" w:cs="Times New Roman"/>
          <w:sz w:val="24"/>
          <w:szCs w:val="24"/>
        </w:rPr>
      </w:pPr>
      <w:r>
        <w:rPr>
          <w:rFonts w:ascii="Times New Roman" w:hAnsi="Times New Roman" w:cs="Times New Roman"/>
          <w:sz w:val="24"/>
          <w:szCs w:val="24"/>
        </w:rPr>
        <w:t>Anotācijas</w:t>
      </w:r>
      <w:r w:rsidR="001328DD" w:rsidRPr="00D930F7">
        <w:rPr>
          <w:rFonts w:ascii="Times New Roman" w:hAnsi="Times New Roman" w:cs="Times New Roman"/>
          <w:sz w:val="24"/>
          <w:szCs w:val="24"/>
        </w:rPr>
        <w:t xml:space="preserve"> IV</w:t>
      </w:r>
      <w:r w:rsidR="00CE5613" w:rsidRPr="00D930F7">
        <w:rPr>
          <w:rFonts w:ascii="Times New Roman" w:hAnsi="Times New Roman" w:cs="Times New Roman"/>
          <w:sz w:val="24"/>
          <w:szCs w:val="24"/>
        </w:rPr>
        <w:t xml:space="preserve"> un</w:t>
      </w:r>
      <w:r w:rsidR="001328DD" w:rsidRPr="00D930F7">
        <w:rPr>
          <w:rFonts w:ascii="Times New Roman" w:hAnsi="Times New Roman" w:cs="Times New Roman"/>
          <w:sz w:val="24"/>
          <w:szCs w:val="24"/>
        </w:rPr>
        <w:t xml:space="preserve"> </w:t>
      </w:r>
      <w:r w:rsidR="00126EE1" w:rsidRPr="00D930F7">
        <w:rPr>
          <w:rFonts w:ascii="Times New Roman" w:hAnsi="Times New Roman" w:cs="Times New Roman"/>
          <w:sz w:val="24"/>
          <w:szCs w:val="24"/>
        </w:rPr>
        <w:t>V</w:t>
      </w:r>
      <w:r w:rsidR="00126EE1" w:rsidRPr="00D930F7">
        <w:rPr>
          <w:rFonts w:ascii="Times New Roman" w:hAnsi="Times New Roman" w:cs="Times New Roman"/>
          <w:bCs/>
          <w:sz w:val="24"/>
          <w:szCs w:val="24"/>
        </w:rPr>
        <w:t xml:space="preserve"> </w:t>
      </w:r>
      <w:r w:rsidR="00E13CDB" w:rsidRPr="00D930F7">
        <w:rPr>
          <w:rFonts w:ascii="Times New Roman" w:hAnsi="Times New Roman" w:cs="Times New Roman"/>
          <w:bCs/>
          <w:sz w:val="24"/>
          <w:szCs w:val="24"/>
        </w:rPr>
        <w:t>sadaļas - projekts šīs jomas neskar.</w:t>
      </w:r>
    </w:p>
    <w:p w:rsidR="00E13CDB" w:rsidRPr="004D15A9" w:rsidRDefault="00E13CDB" w:rsidP="00E13CDB">
      <w:pPr>
        <w:spacing w:after="0" w:line="240" w:lineRule="auto"/>
        <w:rPr>
          <w:rFonts w:ascii="Times New Roman" w:eastAsia="Times New Roman" w:hAnsi="Times New Roman" w:cs="Times New Roman"/>
          <w:vanish/>
          <w:sz w:val="24"/>
          <w:szCs w:val="24"/>
          <w:lang w:eastAsia="lv-LV"/>
        </w:rPr>
      </w:pPr>
    </w:p>
    <w:p w:rsidR="004D15A9" w:rsidRPr="004D15A9" w:rsidRDefault="004D15A9" w:rsidP="00E13CDB">
      <w:pPr>
        <w:spacing w:after="0" w:line="240" w:lineRule="auto"/>
        <w:rPr>
          <w:rFonts w:ascii="Times New Roman" w:eastAsia="Times New Roman" w:hAnsi="Times New Roman" w:cs="Times New Roman"/>
          <w:sz w:val="24"/>
          <w:szCs w:val="24"/>
          <w:lang w:eastAsia="lv-LV"/>
        </w:rPr>
      </w:pPr>
    </w:p>
    <w:p w:rsidR="00BB1F46" w:rsidRPr="004D15A9" w:rsidRDefault="00BB1F46" w:rsidP="00E13CDB">
      <w:pPr>
        <w:spacing w:after="0" w:line="240" w:lineRule="auto"/>
        <w:rPr>
          <w:rFonts w:ascii="Times New Roman" w:hAnsi="Times New Roman" w:cs="Times New Roman"/>
          <w:sz w:val="24"/>
          <w:szCs w:val="24"/>
        </w:rPr>
      </w:pPr>
    </w:p>
    <w:p w:rsidR="004D15A9" w:rsidRPr="004D15A9" w:rsidRDefault="004D15A9" w:rsidP="00E13CDB">
      <w:pPr>
        <w:spacing w:after="0" w:line="240" w:lineRule="auto"/>
        <w:rPr>
          <w:rFonts w:ascii="Times New Roman" w:hAnsi="Times New Roman" w:cs="Times New Roman"/>
          <w:sz w:val="24"/>
          <w:szCs w:val="24"/>
        </w:rPr>
      </w:pPr>
    </w:p>
    <w:p w:rsidR="004D15A9" w:rsidRPr="004D15A9" w:rsidRDefault="004D15A9" w:rsidP="00E13CDB">
      <w:pPr>
        <w:pStyle w:val="StyleRight"/>
        <w:spacing w:after="0"/>
        <w:ind w:firstLine="0"/>
        <w:jc w:val="both"/>
        <w:rPr>
          <w:color w:val="000000"/>
          <w:sz w:val="24"/>
          <w:szCs w:val="24"/>
        </w:rPr>
      </w:pPr>
      <w:r w:rsidRPr="004D15A9">
        <w:rPr>
          <w:color w:val="000000"/>
          <w:sz w:val="24"/>
          <w:szCs w:val="24"/>
        </w:rPr>
        <w:t>Iesniedzējs:</w:t>
      </w:r>
    </w:p>
    <w:p w:rsidR="00847E37" w:rsidRPr="00E82D26" w:rsidRDefault="00847E37" w:rsidP="00847E37">
      <w:pPr>
        <w:pStyle w:val="StyleRight"/>
        <w:spacing w:after="0"/>
        <w:ind w:firstLine="0"/>
        <w:jc w:val="both"/>
        <w:rPr>
          <w:sz w:val="24"/>
          <w:szCs w:val="24"/>
        </w:rPr>
      </w:pPr>
      <w:r>
        <w:rPr>
          <w:sz w:val="24"/>
          <w:szCs w:val="24"/>
        </w:rPr>
        <w:t>t</w:t>
      </w:r>
      <w:r w:rsidRPr="00E82D26">
        <w:rPr>
          <w:sz w:val="24"/>
          <w:szCs w:val="24"/>
        </w:rPr>
        <w:t>ieslietu ministr</w:t>
      </w:r>
      <w:r>
        <w:rPr>
          <w:sz w:val="24"/>
          <w:szCs w:val="24"/>
        </w:rPr>
        <w:t>s</w:t>
      </w:r>
      <w:r w:rsidRPr="00E82D26">
        <w:rPr>
          <w:sz w:val="24"/>
          <w:szCs w:val="24"/>
        </w:rPr>
        <w:tab/>
      </w:r>
      <w:r w:rsidRPr="00E82D26">
        <w:rPr>
          <w:sz w:val="24"/>
          <w:szCs w:val="24"/>
        </w:rPr>
        <w:tab/>
      </w:r>
      <w:r w:rsidRPr="00E82D26">
        <w:rPr>
          <w:sz w:val="24"/>
          <w:szCs w:val="24"/>
        </w:rPr>
        <w:tab/>
      </w:r>
      <w:r w:rsidRPr="00E82D26">
        <w:rPr>
          <w:sz w:val="24"/>
          <w:szCs w:val="24"/>
        </w:rPr>
        <w:tab/>
      </w:r>
      <w:r w:rsidRPr="00E82D26">
        <w:rPr>
          <w:sz w:val="24"/>
          <w:szCs w:val="24"/>
        </w:rPr>
        <w:tab/>
      </w:r>
      <w:r w:rsidR="004D7D45">
        <w:rPr>
          <w:sz w:val="24"/>
          <w:szCs w:val="24"/>
        </w:rPr>
        <w:tab/>
      </w:r>
      <w:r w:rsidR="004D7D45">
        <w:rPr>
          <w:sz w:val="24"/>
          <w:szCs w:val="24"/>
        </w:rPr>
        <w:tab/>
        <w:t xml:space="preserve"> </w:t>
      </w:r>
      <w:r>
        <w:rPr>
          <w:sz w:val="24"/>
          <w:szCs w:val="24"/>
        </w:rPr>
        <w:t>Dzintars Rasnačs</w:t>
      </w:r>
    </w:p>
    <w:p w:rsidR="004D15A9" w:rsidRPr="004D15A9" w:rsidRDefault="004D15A9" w:rsidP="00DA596D">
      <w:pPr>
        <w:pStyle w:val="StyleRight"/>
        <w:spacing w:after="0"/>
        <w:ind w:firstLine="0"/>
        <w:jc w:val="both"/>
        <w:rPr>
          <w:sz w:val="24"/>
          <w:szCs w:val="24"/>
        </w:rPr>
      </w:pPr>
    </w:p>
    <w:p w:rsidR="003A2A0B" w:rsidRDefault="003A2A0B" w:rsidP="00DA596D">
      <w:pPr>
        <w:pStyle w:val="StyleRight"/>
        <w:spacing w:after="0"/>
        <w:ind w:firstLine="0"/>
        <w:jc w:val="both"/>
        <w:rPr>
          <w:color w:val="000000"/>
          <w:sz w:val="24"/>
          <w:szCs w:val="24"/>
        </w:rPr>
      </w:pPr>
    </w:p>
    <w:p w:rsidR="000C7AA2" w:rsidRDefault="000C7AA2" w:rsidP="00DA596D">
      <w:pPr>
        <w:pStyle w:val="StyleRight"/>
        <w:spacing w:after="0"/>
        <w:ind w:firstLine="0"/>
        <w:jc w:val="both"/>
        <w:rPr>
          <w:color w:val="000000"/>
          <w:sz w:val="24"/>
          <w:szCs w:val="24"/>
        </w:rPr>
      </w:pPr>
    </w:p>
    <w:p w:rsidR="000C7AA2" w:rsidRPr="004D15A9" w:rsidRDefault="000C7AA2" w:rsidP="00DA596D">
      <w:pPr>
        <w:pStyle w:val="StyleRight"/>
        <w:spacing w:after="0"/>
        <w:ind w:firstLine="0"/>
        <w:jc w:val="both"/>
        <w:rPr>
          <w:color w:val="000000"/>
          <w:sz w:val="24"/>
          <w:szCs w:val="24"/>
        </w:rPr>
      </w:pPr>
    </w:p>
    <w:p w:rsidR="004D15A9" w:rsidRPr="003A2A0B" w:rsidRDefault="00AF64E6"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06.03</w:t>
      </w:r>
      <w:r w:rsidR="00713904">
        <w:rPr>
          <w:rFonts w:ascii="Times New Roman" w:hAnsi="Times New Roman" w:cs="Times New Roman"/>
          <w:color w:val="000000"/>
          <w:sz w:val="20"/>
          <w:szCs w:val="20"/>
        </w:rPr>
        <w:t>.2015</w:t>
      </w:r>
      <w:r w:rsidR="00221B05">
        <w:rPr>
          <w:rFonts w:ascii="Times New Roman" w:hAnsi="Times New Roman" w:cs="Times New Roman"/>
          <w:color w:val="000000"/>
          <w:sz w:val="20"/>
          <w:szCs w:val="20"/>
        </w:rPr>
        <w:t>.</w:t>
      </w:r>
      <w:r>
        <w:rPr>
          <w:rFonts w:ascii="Times New Roman" w:hAnsi="Times New Roman" w:cs="Times New Roman"/>
          <w:color w:val="000000"/>
          <w:sz w:val="20"/>
          <w:szCs w:val="20"/>
        </w:rPr>
        <w:t>12</w:t>
      </w:r>
      <w:r w:rsidR="00BB549F">
        <w:rPr>
          <w:rFonts w:ascii="Times New Roman" w:hAnsi="Times New Roman" w:cs="Times New Roman"/>
          <w:color w:val="000000"/>
          <w:sz w:val="20"/>
          <w:szCs w:val="20"/>
        </w:rPr>
        <w:t>:</w:t>
      </w:r>
      <w:r>
        <w:rPr>
          <w:rFonts w:ascii="Times New Roman" w:hAnsi="Times New Roman" w:cs="Times New Roman"/>
          <w:color w:val="000000"/>
          <w:sz w:val="20"/>
          <w:szCs w:val="20"/>
        </w:rPr>
        <w:t>0</w:t>
      </w:r>
      <w:r w:rsidR="00C27C36">
        <w:rPr>
          <w:rFonts w:ascii="Times New Roman" w:hAnsi="Times New Roman" w:cs="Times New Roman"/>
          <w:color w:val="000000"/>
          <w:sz w:val="20"/>
          <w:szCs w:val="20"/>
        </w:rPr>
        <w:t>0</w:t>
      </w:r>
    </w:p>
    <w:p w:rsidR="004D15A9" w:rsidRPr="003A2A0B" w:rsidRDefault="00E8230D"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22</w:t>
      </w:r>
      <w:bookmarkStart w:id="0" w:name="_GoBack"/>
      <w:bookmarkEnd w:id="0"/>
      <w:r w:rsidR="003B25EB">
        <w:rPr>
          <w:rFonts w:ascii="Times New Roman" w:hAnsi="Times New Roman" w:cs="Times New Roman"/>
          <w:color w:val="000000"/>
          <w:sz w:val="20"/>
          <w:szCs w:val="20"/>
        </w:rPr>
        <w:t>80</w:t>
      </w:r>
    </w:p>
    <w:p w:rsidR="004D15A9" w:rsidRPr="003A2A0B" w:rsidRDefault="00CF413E"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N. Jarmilko</w:t>
      </w:r>
      <w:r w:rsidR="004D15A9" w:rsidRPr="003A2A0B">
        <w:rPr>
          <w:rFonts w:ascii="Times New Roman" w:hAnsi="Times New Roman" w:cs="Times New Roman"/>
          <w:color w:val="000000"/>
          <w:sz w:val="20"/>
          <w:szCs w:val="20"/>
        </w:rPr>
        <w:t xml:space="preserve"> </w:t>
      </w:r>
    </w:p>
    <w:p w:rsidR="004D15A9" w:rsidRPr="003A2A0B" w:rsidRDefault="00CF413E"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67290159; natalija.jarmilko@ievp.gov.lv</w:t>
      </w:r>
    </w:p>
    <w:sectPr w:rsidR="004D15A9" w:rsidRPr="003A2A0B" w:rsidSect="004D15A9">
      <w:headerReference w:type="default" r:id="rId7"/>
      <w:footerReference w:type="default" r:id="rId8"/>
      <w:footerReference w:type="first" r:id="rId9"/>
      <w:pgSz w:w="11906" w:h="16838"/>
      <w:pgMar w:top="1418"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ED6" w:rsidRDefault="00880ED6" w:rsidP="004D15A9">
      <w:pPr>
        <w:spacing w:after="0" w:line="240" w:lineRule="auto"/>
      </w:pPr>
      <w:r>
        <w:separator/>
      </w:r>
    </w:p>
  </w:endnote>
  <w:endnote w:type="continuationSeparator" w:id="0">
    <w:p w:rsidR="00880ED6" w:rsidRDefault="00880ED6" w:rsidP="004D1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F1F" w:rsidRPr="00E3165E" w:rsidRDefault="00104F1F" w:rsidP="00E3165E">
    <w:pPr>
      <w:ind w:right="-109"/>
      <w:jc w:val="both"/>
      <w:rPr>
        <w:rFonts w:ascii="Times New Roman" w:hAnsi="Times New Roman" w:cs="Times New Roman"/>
        <w:sz w:val="20"/>
        <w:szCs w:val="20"/>
      </w:rPr>
    </w:pPr>
    <w:r w:rsidRPr="00E3165E">
      <w:rPr>
        <w:rFonts w:ascii="Times New Roman" w:hAnsi="Times New Roman" w:cs="Times New Roman"/>
        <w:sz w:val="20"/>
        <w:szCs w:val="20"/>
      </w:rPr>
      <w:t>TMAnot_</w:t>
    </w:r>
    <w:r w:rsidR="004D7D45">
      <w:rPr>
        <w:rFonts w:ascii="Times New Roman" w:hAnsi="Times New Roman" w:cs="Times New Roman"/>
        <w:sz w:val="20"/>
        <w:szCs w:val="20"/>
      </w:rPr>
      <w:t>0603</w:t>
    </w:r>
    <w:r w:rsidR="00BA44C0">
      <w:rPr>
        <w:rFonts w:ascii="Times New Roman" w:hAnsi="Times New Roman" w:cs="Times New Roman"/>
        <w:sz w:val="20"/>
        <w:szCs w:val="20"/>
      </w:rPr>
      <w:t>15</w:t>
    </w:r>
    <w:r w:rsidRPr="00E3165E">
      <w:rPr>
        <w:rFonts w:ascii="Times New Roman" w:hAnsi="Times New Roman" w:cs="Times New Roman"/>
        <w:sz w:val="20"/>
        <w:szCs w:val="20"/>
      </w:rPr>
      <w:t xml:space="preserve">_bern_apgad; Ministru kabineta noteikumu projekta „Noteikumi par apcietinātās vai notiesātās personas bērna apgādi ieslodzījuma vietā” sākotnējās ietekmes novērtējuma </w:t>
    </w:r>
    <w:smartTag w:uri="schemas-tilde-lv/tildestengine" w:element="veidnes">
      <w:smartTagPr>
        <w:attr w:name="text" w:val="ziņojums"/>
        <w:attr w:name="baseform" w:val="ziņojums"/>
        <w:attr w:name="id" w:val="-1"/>
      </w:smartTagPr>
      <w:r w:rsidRPr="00E3165E">
        <w:rPr>
          <w:rFonts w:ascii="Times New Roman" w:hAnsi="Times New Roman" w:cs="Times New Roman"/>
          <w:sz w:val="20"/>
          <w:szCs w:val="20"/>
        </w:rPr>
        <w:t>ziņojums</w:t>
      </w:r>
    </w:smartTag>
    <w:r w:rsidRPr="00E3165E">
      <w:rPr>
        <w:rFonts w:ascii="Times New Roman" w:hAnsi="Times New Roman" w:cs="Times New Roman"/>
        <w:sz w:val="20"/>
        <w:szCs w:val="20"/>
      </w:rPr>
      <w:t xml:space="preserve">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F1F" w:rsidRPr="00E3165E" w:rsidRDefault="00104F1F" w:rsidP="00E3165E">
    <w:pPr>
      <w:ind w:right="-109"/>
      <w:jc w:val="both"/>
      <w:rPr>
        <w:rFonts w:ascii="Times New Roman" w:hAnsi="Times New Roman" w:cs="Times New Roman"/>
        <w:sz w:val="20"/>
        <w:szCs w:val="20"/>
      </w:rPr>
    </w:pPr>
    <w:r w:rsidRPr="00E3165E">
      <w:rPr>
        <w:rFonts w:ascii="Times New Roman" w:hAnsi="Times New Roman" w:cs="Times New Roman"/>
        <w:sz w:val="20"/>
        <w:szCs w:val="20"/>
      </w:rPr>
      <w:t>TMAnot_</w:t>
    </w:r>
    <w:r w:rsidR="004D7D45">
      <w:rPr>
        <w:rFonts w:ascii="Times New Roman" w:hAnsi="Times New Roman" w:cs="Times New Roman"/>
        <w:sz w:val="20"/>
        <w:szCs w:val="20"/>
      </w:rPr>
      <w:t>0</w:t>
    </w:r>
    <w:r w:rsidR="00F82654">
      <w:rPr>
        <w:rFonts w:ascii="Times New Roman" w:hAnsi="Times New Roman" w:cs="Times New Roman"/>
        <w:sz w:val="20"/>
        <w:szCs w:val="20"/>
      </w:rPr>
      <w:t>6</w:t>
    </w:r>
    <w:r w:rsidR="004D7D45">
      <w:rPr>
        <w:rFonts w:ascii="Times New Roman" w:hAnsi="Times New Roman" w:cs="Times New Roman"/>
        <w:sz w:val="20"/>
        <w:szCs w:val="20"/>
      </w:rPr>
      <w:t>03</w:t>
    </w:r>
    <w:r w:rsidR="00BA44C0">
      <w:rPr>
        <w:rFonts w:ascii="Times New Roman" w:hAnsi="Times New Roman" w:cs="Times New Roman"/>
        <w:sz w:val="20"/>
        <w:szCs w:val="20"/>
      </w:rPr>
      <w:t>15</w:t>
    </w:r>
    <w:r w:rsidRPr="00E3165E">
      <w:rPr>
        <w:rFonts w:ascii="Times New Roman" w:hAnsi="Times New Roman" w:cs="Times New Roman"/>
        <w:sz w:val="20"/>
        <w:szCs w:val="20"/>
      </w:rPr>
      <w:t xml:space="preserve">_bern_apgad; Ministru kabineta noteikumu projekta „Noteikumi par apcietinātās vai notiesātās personas bērna apgādi ieslodzījuma vietā” sākotnējās ietekmes novērtējuma </w:t>
    </w:r>
    <w:smartTag w:uri="schemas-tilde-lv/tildestengine" w:element="veidnes">
      <w:smartTagPr>
        <w:attr w:name="text" w:val="ziņojums"/>
        <w:attr w:name="baseform" w:val="ziņojums"/>
        <w:attr w:name="id" w:val="-1"/>
      </w:smartTagPr>
      <w:r w:rsidRPr="00E3165E">
        <w:rPr>
          <w:rFonts w:ascii="Times New Roman" w:hAnsi="Times New Roman" w:cs="Times New Roman"/>
          <w:sz w:val="20"/>
          <w:szCs w:val="20"/>
        </w:rPr>
        <w:t>ziņojums</w:t>
      </w:r>
    </w:smartTag>
    <w:r w:rsidRPr="00E3165E">
      <w:rPr>
        <w:rFonts w:ascii="Times New Roman" w:hAnsi="Times New Roman" w:cs="Times New Roman"/>
        <w:sz w:val="20"/>
        <w:szCs w:val="20"/>
      </w:rPr>
      <w:t xml:space="preserve"> (anotācija)</w:t>
    </w:r>
  </w:p>
  <w:p w:rsidR="00104F1F" w:rsidRPr="00E3165E" w:rsidRDefault="00104F1F" w:rsidP="00E3165E">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ED6" w:rsidRDefault="00880ED6" w:rsidP="004D15A9">
      <w:pPr>
        <w:spacing w:after="0" w:line="240" w:lineRule="auto"/>
      </w:pPr>
      <w:r>
        <w:separator/>
      </w:r>
    </w:p>
  </w:footnote>
  <w:footnote w:type="continuationSeparator" w:id="0">
    <w:p w:rsidR="00880ED6" w:rsidRDefault="00880ED6" w:rsidP="004D15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6230928"/>
      <w:docPartObj>
        <w:docPartGallery w:val="Page Numbers (Top of Page)"/>
        <w:docPartUnique/>
      </w:docPartObj>
    </w:sdtPr>
    <w:sdtEndPr>
      <w:rPr>
        <w:rFonts w:ascii="Times New Roman" w:hAnsi="Times New Roman" w:cs="Times New Roman"/>
        <w:sz w:val="24"/>
        <w:szCs w:val="24"/>
      </w:rPr>
    </w:sdtEndPr>
    <w:sdtContent>
      <w:p w:rsidR="00104F1F" w:rsidRPr="004D15A9" w:rsidRDefault="001D6B66">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00104F1F"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3B25EB">
          <w:rPr>
            <w:rFonts w:ascii="Times New Roman" w:hAnsi="Times New Roman" w:cs="Times New Roman"/>
            <w:noProof/>
            <w:sz w:val="24"/>
            <w:szCs w:val="24"/>
          </w:rPr>
          <w:t>9</w:t>
        </w:r>
        <w:r w:rsidRPr="004D15A9">
          <w:rPr>
            <w:rFonts w:ascii="Times New Roman" w:hAnsi="Times New Roman" w:cs="Times New Roman"/>
            <w:sz w:val="24"/>
            <w:szCs w:val="24"/>
          </w:rPr>
          <w:fldChar w:fldCharType="end"/>
        </w:r>
      </w:p>
    </w:sdtContent>
  </w:sdt>
  <w:p w:rsidR="00104F1F" w:rsidRDefault="00104F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4D15A9"/>
    <w:rsid w:val="00007F6F"/>
    <w:rsid w:val="00015A20"/>
    <w:rsid w:val="00031256"/>
    <w:rsid w:val="00093074"/>
    <w:rsid w:val="00093C17"/>
    <w:rsid w:val="00096707"/>
    <w:rsid w:val="000A48CB"/>
    <w:rsid w:val="000C4E12"/>
    <w:rsid w:val="000C7AA2"/>
    <w:rsid w:val="000D5968"/>
    <w:rsid w:val="000E3E81"/>
    <w:rsid w:val="000F4341"/>
    <w:rsid w:val="000F797C"/>
    <w:rsid w:val="00101CD5"/>
    <w:rsid w:val="00104F1F"/>
    <w:rsid w:val="00126EE1"/>
    <w:rsid w:val="001328DD"/>
    <w:rsid w:val="00136C77"/>
    <w:rsid w:val="00141FFB"/>
    <w:rsid w:val="00147B14"/>
    <w:rsid w:val="00154D0E"/>
    <w:rsid w:val="00157CA9"/>
    <w:rsid w:val="00175BCA"/>
    <w:rsid w:val="001773AE"/>
    <w:rsid w:val="0018724D"/>
    <w:rsid w:val="001949BA"/>
    <w:rsid w:val="001D6B66"/>
    <w:rsid w:val="00215058"/>
    <w:rsid w:val="00216272"/>
    <w:rsid w:val="00221B05"/>
    <w:rsid w:val="00223723"/>
    <w:rsid w:val="002257C1"/>
    <w:rsid w:val="00226225"/>
    <w:rsid w:val="00226D7A"/>
    <w:rsid w:val="0024344A"/>
    <w:rsid w:val="002442DB"/>
    <w:rsid w:val="002500EC"/>
    <w:rsid w:val="00257D40"/>
    <w:rsid w:val="002714D7"/>
    <w:rsid w:val="00287C65"/>
    <w:rsid w:val="00290F14"/>
    <w:rsid w:val="002A2E8F"/>
    <w:rsid w:val="002A5FDA"/>
    <w:rsid w:val="002E4897"/>
    <w:rsid w:val="002E79EA"/>
    <w:rsid w:val="003414D4"/>
    <w:rsid w:val="00341D4A"/>
    <w:rsid w:val="003671D9"/>
    <w:rsid w:val="0038541C"/>
    <w:rsid w:val="003922B0"/>
    <w:rsid w:val="0039366B"/>
    <w:rsid w:val="003A2A0B"/>
    <w:rsid w:val="003B25EB"/>
    <w:rsid w:val="003B2AC2"/>
    <w:rsid w:val="003C4194"/>
    <w:rsid w:val="003D06CD"/>
    <w:rsid w:val="003D3D9F"/>
    <w:rsid w:val="003F22B3"/>
    <w:rsid w:val="00405BD5"/>
    <w:rsid w:val="00410050"/>
    <w:rsid w:val="004222C9"/>
    <w:rsid w:val="00424553"/>
    <w:rsid w:val="00446B41"/>
    <w:rsid w:val="00487F1B"/>
    <w:rsid w:val="004A603F"/>
    <w:rsid w:val="004B30BE"/>
    <w:rsid w:val="004D15A9"/>
    <w:rsid w:val="004D7D45"/>
    <w:rsid w:val="004F28C2"/>
    <w:rsid w:val="005255AD"/>
    <w:rsid w:val="00531FEA"/>
    <w:rsid w:val="00565532"/>
    <w:rsid w:val="005C2DB3"/>
    <w:rsid w:val="005D4E8A"/>
    <w:rsid w:val="006025B1"/>
    <w:rsid w:val="00605B4D"/>
    <w:rsid w:val="006120D3"/>
    <w:rsid w:val="006133F7"/>
    <w:rsid w:val="006229E6"/>
    <w:rsid w:val="00630D5E"/>
    <w:rsid w:val="0066002A"/>
    <w:rsid w:val="00663846"/>
    <w:rsid w:val="006663B8"/>
    <w:rsid w:val="0066696B"/>
    <w:rsid w:val="006837D6"/>
    <w:rsid w:val="006C19DE"/>
    <w:rsid w:val="006C23A4"/>
    <w:rsid w:val="006C33D7"/>
    <w:rsid w:val="006D3684"/>
    <w:rsid w:val="006D3A15"/>
    <w:rsid w:val="006E178B"/>
    <w:rsid w:val="006E3282"/>
    <w:rsid w:val="006F1090"/>
    <w:rsid w:val="00713904"/>
    <w:rsid w:val="007420DA"/>
    <w:rsid w:val="00750148"/>
    <w:rsid w:val="00793727"/>
    <w:rsid w:val="007A4A52"/>
    <w:rsid w:val="00800E34"/>
    <w:rsid w:val="0081203F"/>
    <w:rsid w:val="00816FE3"/>
    <w:rsid w:val="008208C8"/>
    <w:rsid w:val="0082236C"/>
    <w:rsid w:val="00830D26"/>
    <w:rsid w:val="00831556"/>
    <w:rsid w:val="00844157"/>
    <w:rsid w:val="00847AD8"/>
    <w:rsid w:val="00847E37"/>
    <w:rsid w:val="00865CCC"/>
    <w:rsid w:val="00880ED6"/>
    <w:rsid w:val="008C00A3"/>
    <w:rsid w:val="0090233F"/>
    <w:rsid w:val="0091323D"/>
    <w:rsid w:val="00963B5F"/>
    <w:rsid w:val="00965AB6"/>
    <w:rsid w:val="009763D8"/>
    <w:rsid w:val="00983818"/>
    <w:rsid w:val="009B1B57"/>
    <w:rsid w:val="00A13B85"/>
    <w:rsid w:val="00A368C3"/>
    <w:rsid w:val="00A46F8D"/>
    <w:rsid w:val="00A50B13"/>
    <w:rsid w:val="00A67CEA"/>
    <w:rsid w:val="00A72C6B"/>
    <w:rsid w:val="00A85D3D"/>
    <w:rsid w:val="00AA1BFB"/>
    <w:rsid w:val="00AA37B7"/>
    <w:rsid w:val="00AC3E06"/>
    <w:rsid w:val="00AF2279"/>
    <w:rsid w:val="00AF4A55"/>
    <w:rsid w:val="00AF64E6"/>
    <w:rsid w:val="00B07266"/>
    <w:rsid w:val="00B11C23"/>
    <w:rsid w:val="00B46019"/>
    <w:rsid w:val="00B81482"/>
    <w:rsid w:val="00B903E9"/>
    <w:rsid w:val="00B908FE"/>
    <w:rsid w:val="00BA44C0"/>
    <w:rsid w:val="00BA72ED"/>
    <w:rsid w:val="00BB1F46"/>
    <w:rsid w:val="00BB549F"/>
    <w:rsid w:val="00BE22F0"/>
    <w:rsid w:val="00C028BC"/>
    <w:rsid w:val="00C221DC"/>
    <w:rsid w:val="00C27C36"/>
    <w:rsid w:val="00C43DD2"/>
    <w:rsid w:val="00C50DB8"/>
    <w:rsid w:val="00C5337E"/>
    <w:rsid w:val="00C9679C"/>
    <w:rsid w:val="00CD1E4D"/>
    <w:rsid w:val="00CE5613"/>
    <w:rsid w:val="00CF413E"/>
    <w:rsid w:val="00D04206"/>
    <w:rsid w:val="00D0667C"/>
    <w:rsid w:val="00D313D5"/>
    <w:rsid w:val="00D404EB"/>
    <w:rsid w:val="00D53353"/>
    <w:rsid w:val="00D930F7"/>
    <w:rsid w:val="00D97A24"/>
    <w:rsid w:val="00DA596D"/>
    <w:rsid w:val="00DE17DE"/>
    <w:rsid w:val="00DE6DFF"/>
    <w:rsid w:val="00E13CDB"/>
    <w:rsid w:val="00E20D13"/>
    <w:rsid w:val="00E3165E"/>
    <w:rsid w:val="00E33CE2"/>
    <w:rsid w:val="00E437FF"/>
    <w:rsid w:val="00E62350"/>
    <w:rsid w:val="00E76173"/>
    <w:rsid w:val="00E80926"/>
    <w:rsid w:val="00E8230D"/>
    <w:rsid w:val="00E92248"/>
    <w:rsid w:val="00EB67AE"/>
    <w:rsid w:val="00EC15F5"/>
    <w:rsid w:val="00F34243"/>
    <w:rsid w:val="00F65A68"/>
    <w:rsid w:val="00F71162"/>
    <w:rsid w:val="00F82654"/>
    <w:rsid w:val="00FA6C73"/>
    <w:rsid w:val="00FB369F"/>
    <w:rsid w:val="00FC2848"/>
    <w:rsid w:val="00FC3B9C"/>
    <w:rsid w:val="00FD2789"/>
    <w:rsid w:val="00FD455D"/>
    <w:rsid w:val="00FE3F7B"/>
    <w:rsid w:val="00FF395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3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paragraph" w:customStyle="1" w:styleId="naisf">
    <w:name w:val="naisf"/>
    <w:basedOn w:val="Normal"/>
    <w:rsid w:val="00226D7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rsid w:val="00605B4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qFormat/>
    <w:rsid w:val="00605B4D"/>
    <w:pPr>
      <w:spacing w:after="0" w:line="240" w:lineRule="auto"/>
      <w:ind w:left="720"/>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C4E12"/>
    <w:rPr>
      <w:sz w:val="16"/>
      <w:szCs w:val="16"/>
    </w:rPr>
  </w:style>
  <w:style w:type="paragraph" w:styleId="CommentText">
    <w:name w:val="annotation text"/>
    <w:basedOn w:val="Normal"/>
    <w:link w:val="CommentTextChar"/>
    <w:uiPriority w:val="99"/>
    <w:unhideWhenUsed/>
    <w:rsid w:val="000C4E12"/>
    <w:pPr>
      <w:spacing w:line="240" w:lineRule="auto"/>
    </w:pPr>
    <w:rPr>
      <w:sz w:val="20"/>
      <w:szCs w:val="20"/>
    </w:rPr>
  </w:style>
  <w:style w:type="character" w:customStyle="1" w:styleId="CommentTextChar">
    <w:name w:val="Comment Text Char"/>
    <w:basedOn w:val="DefaultParagraphFont"/>
    <w:link w:val="CommentText"/>
    <w:uiPriority w:val="99"/>
    <w:rsid w:val="000C4E12"/>
    <w:rPr>
      <w:sz w:val="20"/>
      <w:szCs w:val="20"/>
    </w:rPr>
  </w:style>
  <w:style w:type="paragraph" w:styleId="CommentSubject">
    <w:name w:val="annotation subject"/>
    <w:basedOn w:val="CommentText"/>
    <w:next w:val="CommentText"/>
    <w:link w:val="CommentSubjectChar"/>
    <w:uiPriority w:val="99"/>
    <w:semiHidden/>
    <w:unhideWhenUsed/>
    <w:rsid w:val="000C4E12"/>
    <w:rPr>
      <w:b/>
      <w:bCs/>
    </w:rPr>
  </w:style>
  <w:style w:type="character" w:customStyle="1" w:styleId="CommentSubjectChar">
    <w:name w:val="Comment Subject Char"/>
    <w:basedOn w:val="CommentTextChar"/>
    <w:link w:val="CommentSubject"/>
    <w:uiPriority w:val="99"/>
    <w:semiHidden/>
    <w:rsid w:val="000C4E12"/>
    <w:rPr>
      <w:b/>
      <w:bCs/>
      <w:sz w:val="20"/>
      <w:szCs w:val="20"/>
    </w:rPr>
  </w:style>
  <w:style w:type="paragraph" w:customStyle="1" w:styleId="naiskr">
    <w:name w:val="naiskr"/>
    <w:basedOn w:val="Normal"/>
    <w:rsid w:val="00C221DC"/>
    <w:pPr>
      <w:spacing w:before="75" w:after="75" w:line="240" w:lineRule="auto"/>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Right">
    <w:name w:val="Style Right"/>
    <w:basedOn w:val="Parasts"/>
    <w:rsid w:val="004D15A9"/>
    <w:pPr>
      <w:spacing w:after="120" w:line="240" w:lineRule="auto"/>
      <w:ind w:firstLine="720"/>
      <w:jc w:val="right"/>
    </w:pPr>
    <w:rPr>
      <w:rFonts w:ascii="Times New Roman" w:eastAsia="Times New Roman" w:hAnsi="Times New Roman" w:cs="Times New Roman"/>
      <w:sz w:val="28"/>
      <w:szCs w:val="28"/>
    </w:rPr>
  </w:style>
  <w:style w:type="paragraph" w:styleId="Galvene">
    <w:name w:val="header"/>
    <w:basedOn w:val="Parasts"/>
    <w:link w:val="GalveneRakstz"/>
    <w:uiPriority w:val="99"/>
    <w:unhideWhenUsed/>
    <w:rsid w:val="004D15A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D15A9"/>
  </w:style>
  <w:style w:type="paragraph" w:styleId="Kjene">
    <w:name w:val="footer"/>
    <w:basedOn w:val="Parasts"/>
    <w:link w:val="KjeneRakstz"/>
    <w:uiPriority w:val="99"/>
    <w:unhideWhenUsed/>
    <w:rsid w:val="004D15A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D15A9"/>
  </w:style>
  <w:style w:type="paragraph" w:styleId="Balonteksts">
    <w:name w:val="Balloon Text"/>
    <w:basedOn w:val="Parasts"/>
    <w:link w:val="BalontekstsRakstz"/>
    <w:uiPriority w:val="99"/>
    <w:semiHidden/>
    <w:unhideWhenUsed/>
    <w:rsid w:val="003A2A0B"/>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A2A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1954632047">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37E08-B97E-412D-8CC0-569C14AC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Pages>
  <Words>10761</Words>
  <Characters>6135</Characters>
  <Application>Microsoft Office Word</Application>
  <DocSecurity>0</DocSecurity>
  <Lines>51</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projekta nosaukums</vt:lpstr>
      <vt:lpstr>projekta nosaukums</vt:lpstr>
    </vt:vector>
  </TitlesOfParts>
  <Company>Tieslietu Sektors</Company>
  <LinksUpToDate>false</LinksUpToDate>
  <CharactersWithSpaces>16863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 nosaukums</dc:title>
  <dc:subject>Anotācija</dc:subject>
  <dc:creator>iestādes nosaukums</dc:creator>
  <dc:description>projekta autors, tā tālruņa numurs un e-pasta adrese</dc:description>
  <cp:lastModifiedBy>Natalija Jarmilko</cp:lastModifiedBy>
  <cp:revision>24</cp:revision>
  <cp:lastPrinted>2014-12-23T12:27:00Z</cp:lastPrinted>
  <dcterms:created xsi:type="dcterms:W3CDTF">2015-02-16T13:42:00Z</dcterms:created>
  <dcterms:modified xsi:type="dcterms:W3CDTF">2015-03-06T12:17:00Z</dcterms:modified>
</cp:coreProperties>
</file>