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4B7C23" w:rsidRPr="004B7C23" w:rsidRDefault="004B7C23" w:rsidP="004B7C23">
      <w:pPr>
        <w:pStyle w:val="NoSpacing"/>
        <w:jc w:val="center"/>
        <w:rPr>
          <w:rFonts w:ascii="Times New Roman" w:hAnsi="Times New Roman"/>
          <w:b/>
          <w:sz w:val="24"/>
          <w:szCs w:val="24"/>
        </w:rPr>
      </w:pPr>
      <w:r w:rsidRPr="004B7C23">
        <w:rPr>
          <w:rFonts w:ascii="Times New Roman" w:hAnsi="Times New Roman"/>
          <w:b/>
          <w:sz w:val="24"/>
          <w:szCs w:val="24"/>
        </w:rPr>
        <w:t>"Jēkabpils cietuma esošās fekālās kanalizācijas remonts"</w:t>
      </w:r>
    </w:p>
    <w:p w:rsidR="00B7115E" w:rsidRDefault="004B7C23" w:rsidP="004B7C23">
      <w:pPr>
        <w:pStyle w:val="NoSpacing"/>
        <w:jc w:val="center"/>
        <w:rPr>
          <w:rFonts w:ascii="Times New Roman" w:hAnsi="Times New Roman"/>
          <w:b/>
          <w:sz w:val="24"/>
          <w:szCs w:val="24"/>
        </w:rPr>
      </w:pPr>
      <w:r w:rsidRPr="004B7C23">
        <w:rPr>
          <w:rFonts w:ascii="Times New Roman" w:hAnsi="Times New Roman"/>
          <w:b/>
          <w:sz w:val="24"/>
          <w:szCs w:val="24"/>
        </w:rPr>
        <w:t>(iepirkuma identifikācijas numurs IeVP 2017/80)</w:t>
      </w:r>
    </w:p>
    <w:p w:rsidR="004B7C23" w:rsidRDefault="004B7C23" w:rsidP="004B7C23">
      <w:pPr>
        <w:pStyle w:val="NoSpacing"/>
        <w:jc w:val="center"/>
        <w:rPr>
          <w:rFonts w:ascii="Times New Roman" w:hAnsi="Times New Roman"/>
          <w:b/>
          <w:sz w:val="24"/>
          <w:szCs w:val="24"/>
        </w:rPr>
      </w:pPr>
    </w:p>
    <w:p w:rsidR="00EF479B" w:rsidRPr="00FE177A" w:rsidRDefault="00EF479B" w:rsidP="00B7115E">
      <w:pPr>
        <w:pStyle w:val="NoSpacing"/>
        <w:jc w:val="center"/>
        <w:rPr>
          <w:rFonts w:ascii="Times New Roman" w:hAnsi="Times New Roman"/>
          <w:sz w:val="24"/>
          <w:szCs w:val="24"/>
        </w:rPr>
      </w:pPr>
      <w:r w:rsidRPr="00FE177A">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FE177A">
          <w:rPr>
            <w:rFonts w:ascii="Times New Roman" w:hAnsi="Times New Roman"/>
            <w:sz w:val="24"/>
            <w:szCs w:val="24"/>
          </w:rPr>
          <w:t>protokols</w:t>
        </w:r>
      </w:smartTag>
      <w:r w:rsidRPr="00FE177A">
        <w:rPr>
          <w:rFonts w:ascii="Times New Roman" w:hAnsi="Times New Roman"/>
          <w:sz w:val="24"/>
          <w:szCs w:val="24"/>
        </w:rPr>
        <w:t xml:space="preserve"> Nr. 201</w:t>
      </w:r>
      <w:r w:rsidR="00032087">
        <w:rPr>
          <w:rFonts w:ascii="Times New Roman" w:hAnsi="Times New Roman"/>
          <w:sz w:val="24"/>
          <w:szCs w:val="24"/>
        </w:rPr>
        <w:t>7/80</w:t>
      </w:r>
      <w:r w:rsidR="00E85BA4" w:rsidRPr="00FE177A">
        <w:rPr>
          <w:rFonts w:ascii="Times New Roman" w:hAnsi="Times New Roman"/>
          <w:sz w:val="24"/>
          <w:szCs w:val="24"/>
        </w:rPr>
        <w:t>/</w:t>
      </w:r>
      <w:r w:rsidR="00352323" w:rsidRPr="00FE177A">
        <w:rPr>
          <w:rFonts w:ascii="Times New Roman" w:hAnsi="Times New Roman"/>
          <w:sz w:val="24"/>
          <w:szCs w:val="24"/>
        </w:rPr>
        <w:t>3</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xml:space="preserve">. gada </w:t>
      </w:r>
      <w:r w:rsidR="00760CA9">
        <w:rPr>
          <w:rFonts w:ascii="Times New Roman" w:hAnsi="Times New Roman"/>
          <w:sz w:val="24"/>
          <w:szCs w:val="24"/>
        </w:rPr>
        <w:t>14</w:t>
      </w:r>
      <w:r w:rsidR="004B7C23">
        <w:rPr>
          <w:rFonts w:ascii="Times New Roman" w:hAnsi="Times New Roman"/>
          <w:sz w:val="24"/>
          <w:szCs w:val="24"/>
        </w:rPr>
        <w:t>.septembrī</w:t>
      </w:r>
    </w:p>
    <w:p w:rsidR="00EF479B" w:rsidRPr="00FE177A" w:rsidRDefault="00EF479B" w:rsidP="00EF479B">
      <w:pPr>
        <w:pStyle w:val="NoSpacing"/>
        <w:jc w:val="both"/>
        <w:rPr>
          <w:rFonts w:ascii="Times New Roman" w:hAnsi="Times New Roman"/>
          <w:color w:val="FF0000"/>
          <w:sz w:val="24"/>
          <w:szCs w:val="24"/>
        </w:rPr>
      </w:pPr>
    </w:p>
    <w:p w:rsidR="00742F2D" w:rsidRPr="00735D10" w:rsidRDefault="00EF479B" w:rsidP="004B7C23">
      <w:pPr>
        <w:spacing w:after="0" w:line="240" w:lineRule="auto"/>
        <w:ind w:firstLine="709"/>
        <w:jc w:val="both"/>
        <w:rPr>
          <w:rFonts w:ascii="Times New Roman" w:eastAsia="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4B7C23" w:rsidRPr="004B7C23">
        <w:rPr>
          <w:rFonts w:ascii="Times New Roman" w:eastAsia="Times New Roman" w:hAnsi="Times New Roman"/>
          <w:sz w:val="24"/>
          <w:szCs w:val="24"/>
        </w:rPr>
        <w:t>"Jēkabpils cietuma esošās</w:t>
      </w:r>
      <w:r w:rsidR="004B7C23">
        <w:rPr>
          <w:rFonts w:ascii="Times New Roman" w:eastAsia="Times New Roman" w:hAnsi="Times New Roman"/>
          <w:sz w:val="24"/>
          <w:szCs w:val="24"/>
        </w:rPr>
        <w:t xml:space="preserve"> fekālās kanalizācijas remonts", </w:t>
      </w:r>
      <w:r w:rsidR="004B7C23" w:rsidRPr="004B7C23">
        <w:rPr>
          <w:rFonts w:ascii="Times New Roman" w:eastAsia="Times New Roman" w:hAnsi="Times New Roman"/>
          <w:sz w:val="24"/>
          <w:szCs w:val="24"/>
        </w:rPr>
        <w:t>iepirkuma iden</w:t>
      </w:r>
      <w:r w:rsidR="004B7C23">
        <w:rPr>
          <w:rFonts w:ascii="Times New Roman" w:eastAsia="Times New Roman" w:hAnsi="Times New Roman"/>
          <w:sz w:val="24"/>
          <w:szCs w:val="24"/>
        </w:rPr>
        <w:t>tifikācijas numurs IeVP 2017/80</w:t>
      </w:r>
      <w:r w:rsidR="004B7C23" w:rsidRPr="004B7C23">
        <w:rPr>
          <w:rFonts w:ascii="Times New Roman" w:eastAsia="Times New Roman" w:hAnsi="Times New Roman"/>
          <w:sz w:val="24"/>
          <w:szCs w:val="24"/>
        </w:rPr>
        <w:t xml:space="preserve"> </w:t>
      </w:r>
      <w:r w:rsidR="00742F2D" w:rsidRPr="00FE177A">
        <w:rPr>
          <w:rFonts w:ascii="Times New Roman" w:hAnsi="Times New Roman"/>
          <w:sz w:val="24"/>
        </w:rPr>
        <w:t xml:space="preserve">(turpmāk – Iepirkums) </w:t>
      </w:r>
      <w:r w:rsidR="00742F2D" w:rsidRPr="00FE177A">
        <w:rPr>
          <w:rFonts w:ascii="Times New Roman" w:eastAsia="Times New Roman" w:hAnsi="Times New Roman"/>
          <w:sz w:val="24"/>
          <w:szCs w:val="24"/>
        </w:rPr>
        <w:t>sēdē plkst.</w:t>
      </w:r>
      <w:r w:rsidR="00760CA9">
        <w:rPr>
          <w:rFonts w:ascii="Times New Roman" w:eastAsia="Times New Roman" w:hAnsi="Times New Roman"/>
          <w:sz w:val="24"/>
          <w:szCs w:val="24"/>
        </w:rPr>
        <w:t xml:space="preserve"> 13.30 </w:t>
      </w:r>
      <w:r w:rsidR="00742F2D" w:rsidRPr="00FE177A">
        <w:rPr>
          <w:rFonts w:ascii="Times New Roman" w:eastAsia="Times New Roman" w:hAnsi="Times New Roman"/>
          <w:sz w:val="24"/>
          <w:szCs w:val="24"/>
        </w:rPr>
        <w:t xml:space="preserve">, Stabu ielā 89, Rīgā, </w:t>
      </w:r>
      <w:r w:rsidR="0070053D">
        <w:rPr>
          <w:rFonts w:ascii="Times New Roman" w:eastAsia="Times New Roman" w:hAnsi="Times New Roman"/>
          <w:sz w:val="24"/>
          <w:szCs w:val="24"/>
        </w:rPr>
        <w:t>314.</w:t>
      </w:r>
      <w:r w:rsidR="00742F2D" w:rsidRPr="00FE177A">
        <w:rPr>
          <w:rFonts w:ascii="Times New Roman" w:eastAsia="Times New Roman" w:hAnsi="Times New Roman"/>
          <w:sz w:val="24"/>
          <w:szCs w:val="24"/>
        </w:rPr>
        <w:t> kabinetā, piedalās:</w:t>
      </w:r>
    </w:p>
    <w:p w:rsidR="00742F2D" w:rsidRPr="00FE177A" w:rsidRDefault="00742F2D" w:rsidP="00735D10">
      <w:pPr>
        <w:pStyle w:val="NoSpacing"/>
        <w:spacing w:before="240"/>
        <w:jc w:val="both"/>
        <w:rPr>
          <w:rFonts w:ascii="Times New Roman" w:hAnsi="Times New Roman"/>
          <w:sz w:val="24"/>
          <w:szCs w:val="24"/>
          <w:lang w:val="de-DE"/>
        </w:rPr>
      </w:pPr>
      <w:r w:rsidRPr="00FE177A">
        <w:rPr>
          <w:rFonts w:ascii="Times New Roman" w:hAnsi="Times New Roman"/>
          <w:b/>
          <w:sz w:val="24"/>
          <w:szCs w:val="24"/>
        </w:rPr>
        <w:t xml:space="preserve">Iepirkumu komisijas priekšsēdētāja: </w:t>
      </w:r>
      <w:r w:rsidRPr="00FE177A">
        <w:rPr>
          <w:rFonts w:ascii="Times New Roman" w:hAnsi="Times New Roman"/>
          <w:sz w:val="24"/>
          <w:szCs w:val="24"/>
        </w:rPr>
        <w:t xml:space="preserve">Pārvaldes priekšnieka </w:t>
      </w:r>
      <w:r w:rsidR="0010417A" w:rsidRPr="00FE177A">
        <w:rPr>
          <w:rFonts w:ascii="Times New Roman" w:hAnsi="Times New Roman"/>
          <w:sz w:val="24"/>
          <w:szCs w:val="24"/>
        </w:rPr>
        <w:t>vietniece majore Tatjana Trocka</w:t>
      </w:r>
    </w:p>
    <w:p w:rsidR="00CC68A7" w:rsidRPr="007C57BC" w:rsidRDefault="00CC68A7" w:rsidP="00735D10">
      <w:pPr>
        <w:pStyle w:val="NoSpacing"/>
        <w:spacing w:before="240"/>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735D10" w:rsidRPr="00735D10" w:rsidRDefault="00742F2D" w:rsidP="00735D10">
      <w:pPr>
        <w:pStyle w:val="NoSpacing"/>
        <w:spacing w:before="240"/>
        <w:jc w:val="both"/>
        <w:rPr>
          <w:rFonts w:ascii="Times New Roman" w:hAnsi="Times New Roman"/>
          <w:b/>
          <w:sz w:val="24"/>
          <w:szCs w:val="24"/>
        </w:rPr>
      </w:pPr>
      <w:r w:rsidRPr="00FE177A">
        <w:rPr>
          <w:rFonts w:ascii="Times New Roman" w:hAnsi="Times New Roman"/>
          <w:b/>
          <w:sz w:val="24"/>
          <w:szCs w:val="24"/>
        </w:rPr>
        <w:t>Iepirkumu komisijas locekļi:</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Uzraudzības daļas galvenais inspektors majors Madars Vekmanis;</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Apsardzes daļas galvenais inspektors majors Vadims Petruhins;</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Grāmatvedības daļas informācijas uzskaites galvenā speciāliste virsleitnante Jūlija Baranova;</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Nodrošinājumā daļas ugunsdrošības un civilās aizsardzības tehniķis Gints Bogdanovs.</w:t>
      </w:r>
    </w:p>
    <w:p w:rsidR="00D13473" w:rsidRPr="00FE177A" w:rsidRDefault="00D13473" w:rsidP="00735D10">
      <w:pPr>
        <w:spacing w:before="240" w:after="0" w:line="240" w:lineRule="auto"/>
        <w:ind w:right="42"/>
        <w:jc w:val="both"/>
        <w:rPr>
          <w:rFonts w:ascii="Times New Roman" w:hAnsi="Times New Roman"/>
          <w:b/>
          <w:sz w:val="24"/>
          <w:szCs w:val="24"/>
          <w:u w:val="single"/>
          <w:lang w:val="de-DE"/>
        </w:rPr>
      </w:pPr>
      <w:r w:rsidRPr="00FE177A">
        <w:rPr>
          <w:rFonts w:ascii="Times New Roman" w:hAnsi="Times New Roman"/>
          <w:b/>
          <w:sz w:val="24"/>
          <w:szCs w:val="24"/>
          <w:u w:val="single"/>
          <w:lang w:val="de-DE"/>
        </w:rPr>
        <w:t>Protokolē:</w:t>
      </w:r>
    </w:p>
    <w:p w:rsidR="0010417A" w:rsidRPr="00FE177A" w:rsidRDefault="0010417A" w:rsidP="00735D10">
      <w:pPr>
        <w:pStyle w:val="NoSpacing"/>
        <w:jc w:val="both"/>
        <w:rPr>
          <w:rFonts w:ascii="Times New Roman" w:hAnsi="Times New Roman"/>
          <w:noProof w:val="0"/>
          <w:sz w:val="24"/>
          <w:szCs w:val="24"/>
        </w:rPr>
      </w:pPr>
      <w:r w:rsidRPr="00FE177A">
        <w:rPr>
          <w:rFonts w:ascii="Times New Roman" w:hAnsi="Times New Roman"/>
          <w:noProof w:val="0"/>
          <w:sz w:val="24"/>
          <w:szCs w:val="24"/>
        </w:rPr>
        <w:t>Pārvaldes centrālā aparāta Iepirkumu un līgumu daļas ve</w:t>
      </w:r>
      <w:r w:rsidR="00957C79">
        <w:rPr>
          <w:rFonts w:ascii="Times New Roman" w:hAnsi="Times New Roman"/>
          <w:noProof w:val="0"/>
          <w:sz w:val="24"/>
          <w:szCs w:val="24"/>
        </w:rPr>
        <w:t>cākais referents Nauris Ozoliņš</w:t>
      </w:r>
    </w:p>
    <w:p w:rsidR="00EF479B" w:rsidRDefault="00EF479B" w:rsidP="00735D10">
      <w:pPr>
        <w:pStyle w:val="NoSpacing"/>
        <w:spacing w:before="240"/>
        <w:jc w:val="both"/>
        <w:rPr>
          <w:rFonts w:ascii="Times New Roman" w:hAnsi="Times New Roman"/>
          <w:noProof w:val="0"/>
          <w:sz w:val="24"/>
          <w:szCs w:val="24"/>
        </w:rPr>
      </w:pPr>
      <w:r w:rsidRPr="00FE177A">
        <w:rPr>
          <w:rFonts w:ascii="Times New Roman" w:hAnsi="Times New Roman"/>
          <w:b/>
          <w:noProof w:val="0"/>
          <w:sz w:val="24"/>
          <w:szCs w:val="24"/>
          <w:u w:val="single"/>
        </w:rPr>
        <w:t>Iepirkuma priekšmets un īss tā apraksts</w:t>
      </w:r>
      <w:r w:rsidRPr="00FE177A">
        <w:rPr>
          <w:rFonts w:ascii="Times New Roman" w:hAnsi="Times New Roman"/>
          <w:noProof w:val="0"/>
          <w:sz w:val="24"/>
          <w:szCs w:val="24"/>
        </w:rPr>
        <w:t>:</w:t>
      </w:r>
    </w:p>
    <w:p w:rsidR="004B7C23" w:rsidRPr="00FE177A" w:rsidRDefault="004B7C23" w:rsidP="00735D10">
      <w:pPr>
        <w:pStyle w:val="NoSpacing"/>
        <w:spacing w:before="240"/>
        <w:jc w:val="both"/>
        <w:rPr>
          <w:rFonts w:ascii="Times New Roman" w:hAnsi="Times New Roman"/>
          <w:noProof w:val="0"/>
          <w:sz w:val="24"/>
          <w:szCs w:val="24"/>
        </w:rPr>
      </w:pPr>
      <w:r w:rsidRPr="004272E1">
        <w:rPr>
          <w:rFonts w:ascii="Times New Roman" w:hAnsi="Times New Roman"/>
          <w:sz w:val="24"/>
          <w:szCs w:val="24"/>
        </w:rPr>
        <w:t>Jēkabpils cietuma esošās fekālās kanalizācijas remonts</w:t>
      </w:r>
      <w:r w:rsidRPr="004272E1">
        <w:rPr>
          <w:rFonts w:ascii="Times New Roman" w:eastAsia="Times New Roman" w:hAnsi="Times New Roman"/>
          <w:sz w:val="24"/>
          <w:szCs w:val="24"/>
          <w:lang w:eastAsia="lv-LV"/>
        </w:rPr>
        <w:t>.</w:t>
      </w:r>
    </w:p>
    <w:p w:rsidR="00EF479B" w:rsidRPr="00FE177A" w:rsidRDefault="00EF479B" w:rsidP="00735D10">
      <w:pPr>
        <w:spacing w:before="240" w:after="0" w:line="240" w:lineRule="auto"/>
        <w:ind w:right="43"/>
        <w:jc w:val="both"/>
        <w:rPr>
          <w:rFonts w:ascii="Times New Roman" w:hAnsi="Times New Roman"/>
          <w:b/>
          <w:sz w:val="24"/>
          <w:szCs w:val="24"/>
          <w:u w:val="single"/>
        </w:rPr>
      </w:pPr>
      <w:r w:rsidRPr="00FE177A">
        <w:rPr>
          <w:rFonts w:ascii="Times New Roman" w:hAnsi="Times New Roman"/>
          <w:b/>
          <w:sz w:val="24"/>
          <w:szCs w:val="24"/>
          <w:u w:val="single"/>
        </w:rPr>
        <w:t>Izvēles kritērijs:</w:t>
      </w:r>
    </w:p>
    <w:p w:rsidR="00EF479B" w:rsidRPr="004B7C23" w:rsidRDefault="009E4223" w:rsidP="004B7C23">
      <w:pPr>
        <w:ind w:right="-2"/>
        <w:jc w:val="both"/>
        <w:rPr>
          <w:rFonts w:ascii="Times New Roman" w:hAnsi="Times New Roman"/>
          <w:sz w:val="24"/>
          <w:szCs w:val="24"/>
        </w:rPr>
      </w:pPr>
      <w:r>
        <w:rPr>
          <w:rFonts w:ascii="Times New Roman" w:hAnsi="Times New Roman"/>
          <w:sz w:val="24"/>
          <w:szCs w:val="24"/>
        </w:rPr>
        <w:t>"</w:t>
      </w:r>
      <w:r w:rsidR="004B7C23" w:rsidRPr="004272E1">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w:t>
      </w:r>
      <w:r w:rsidR="004B7C23">
        <w:rPr>
          <w:rFonts w:ascii="Times New Roman" w:hAnsi="Times New Roman"/>
          <w:sz w:val="24"/>
          <w:szCs w:val="24"/>
        </w:rPr>
        <w:t>s, bez PVN.</w:t>
      </w:r>
      <w:r>
        <w:rPr>
          <w:rFonts w:ascii="Times New Roman" w:hAnsi="Times New Roman"/>
          <w:sz w:val="24"/>
          <w:szCs w:val="24"/>
        </w:rPr>
        <w:t>"</w:t>
      </w:r>
    </w:p>
    <w:p w:rsidR="00EF479B" w:rsidRPr="00FE177A" w:rsidRDefault="00EF479B" w:rsidP="00735D10">
      <w:pPr>
        <w:pStyle w:val="NoSpacing"/>
        <w:spacing w:before="120"/>
        <w:jc w:val="both"/>
        <w:rPr>
          <w:rFonts w:ascii="Times New Roman" w:hAnsi="Times New Roman"/>
          <w:sz w:val="24"/>
          <w:szCs w:val="24"/>
        </w:rPr>
      </w:pPr>
      <w:r w:rsidRPr="00FE177A">
        <w:rPr>
          <w:rFonts w:ascii="Times New Roman" w:hAnsi="Times New Roman"/>
          <w:b/>
          <w:noProof w:val="0"/>
          <w:sz w:val="24"/>
          <w:szCs w:val="24"/>
          <w:u w:val="single"/>
        </w:rPr>
        <w:t>Sēdi vada:</w:t>
      </w:r>
      <w:r w:rsidRPr="00FE177A">
        <w:rPr>
          <w:rFonts w:ascii="Times New Roman" w:hAnsi="Times New Roman"/>
          <w:noProof w:val="0"/>
          <w:sz w:val="24"/>
          <w:szCs w:val="24"/>
        </w:rPr>
        <w:t xml:space="preserve"> </w:t>
      </w:r>
      <w:r w:rsidR="00742F2D" w:rsidRPr="00FE177A">
        <w:rPr>
          <w:rFonts w:ascii="Times New Roman" w:hAnsi="Times New Roman"/>
          <w:sz w:val="24"/>
          <w:szCs w:val="24"/>
        </w:rPr>
        <w:t>Pārvaldes priekšnieka vietniece majore Tatjana Trocka</w:t>
      </w:r>
    </w:p>
    <w:p w:rsidR="00BE4F2B" w:rsidRPr="00FE177A" w:rsidRDefault="00BE4F2B" w:rsidP="00735D10">
      <w:pPr>
        <w:spacing w:after="0" w:line="240" w:lineRule="auto"/>
        <w:ind w:right="42"/>
        <w:jc w:val="both"/>
        <w:rPr>
          <w:rFonts w:ascii="Times New Roman" w:hAnsi="Times New Roman"/>
          <w:b/>
          <w:color w:val="FF0000"/>
          <w:sz w:val="24"/>
          <w:szCs w:val="24"/>
          <w:u w:val="single"/>
        </w:rPr>
      </w:pPr>
    </w:p>
    <w:p w:rsidR="00EF479B" w:rsidRPr="00FE177A" w:rsidRDefault="00EF479B" w:rsidP="00735D10">
      <w:pPr>
        <w:spacing w:after="0" w:line="240" w:lineRule="auto"/>
        <w:ind w:right="42"/>
        <w:jc w:val="both"/>
        <w:rPr>
          <w:rFonts w:ascii="Times New Roman" w:hAnsi="Times New Roman"/>
          <w:b/>
          <w:sz w:val="24"/>
          <w:szCs w:val="24"/>
          <w:u w:val="single"/>
        </w:rPr>
      </w:pPr>
      <w:r w:rsidRPr="00FE177A">
        <w:rPr>
          <w:rFonts w:ascii="Times New Roman" w:hAnsi="Times New Roman"/>
          <w:b/>
          <w:sz w:val="24"/>
          <w:szCs w:val="24"/>
          <w:u w:val="single"/>
        </w:rPr>
        <w:t>Sēdes gaita:</w:t>
      </w:r>
    </w:p>
    <w:p w:rsidR="00EF479B" w:rsidRPr="00FE177A" w:rsidRDefault="00742F2D" w:rsidP="00A5356F">
      <w:pPr>
        <w:spacing w:line="240" w:lineRule="auto"/>
        <w:ind w:right="42"/>
        <w:jc w:val="both"/>
        <w:rPr>
          <w:rFonts w:ascii="Times New Roman" w:eastAsia="Times New Roman" w:hAnsi="Times New Roman"/>
          <w:sz w:val="24"/>
          <w:szCs w:val="24"/>
        </w:rPr>
      </w:pPr>
      <w:r w:rsidRPr="00FE177A">
        <w:rPr>
          <w:rFonts w:ascii="Times New Roman" w:eastAsia="Times New Roman" w:hAnsi="Times New Roman"/>
          <w:sz w:val="24"/>
          <w:szCs w:val="24"/>
        </w:rPr>
        <w:t>T. Trock</w:t>
      </w:r>
      <w:r w:rsidR="00583079" w:rsidRPr="00FE177A">
        <w:rPr>
          <w:rFonts w:ascii="Times New Roman" w:eastAsia="Times New Roman" w:hAnsi="Times New Roman"/>
          <w:sz w:val="24"/>
          <w:szCs w:val="24"/>
        </w:rPr>
        <w:t>a</w:t>
      </w:r>
      <w:r w:rsidR="00EF479B" w:rsidRPr="00FE177A">
        <w:rPr>
          <w:rFonts w:ascii="Times New Roman" w:eastAsia="Times New Roman" w:hAnsi="Times New Roman"/>
          <w:sz w:val="24"/>
          <w:szCs w:val="24"/>
        </w:rPr>
        <w:t xml:space="preserve"> </w:t>
      </w:r>
      <w:r w:rsidR="00E85BA4" w:rsidRPr="00FE177A">
        <w:rPr>
          <w:rFonts w:ascii="Times New Roman" w:eastAsia="Times New Roman" w:hAnsi="Times New Roman"/>
          <w:sz w:val="24"/>
          <w:szCs w:val="24"/>
        </w:rPr>
        <w:t xml:space="preserve">nosauc </w:t>
      </w:r>
      <w:r w:rsidR="00E85BA4" w:rsidRPr="007C57BC">
        <w:rPr>
          <w:rFonts w:ascii="Times New Roman" w:eastAsia="Times New Roman" w:hAnsi="Times New Roman"/>
          <w:sz w:val="24"/>
          <w:szCs w:val="24"/>
        </w:rPr>
        <w:t xml:space="preserve">piedāvājumu </w:t>
      </w:r>
      <w:r w:rsidR="00E85BA4" w:rsidRPr="00FE177A">
        <w:rPr>
          <w:rFonts w:ascii="Times New Roman" w:eastAsia="Times New Roman" w:hAnsi="Times New Roman"/>
          <w:sz w:val="24"/>
          <w:szCs w:val="24"/>
        </w:rPr>
        <w:t>iesniegušo pretendentu</w:t>
      </w:r>
      <w:r w:rsidR="00EF479B" w:rsidRPr="00FE177A">
        <w:rPr>
          <w:rFonts w:ascii="Times New Roman" w:eastAsia="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2461"/>
        <w:gridCol w:w="2271"/>
        <w:gridCol w:w="1356"/>
      </w:tblGrid>
      <w:tr w:rsidR="004B7C23" w:rsidRPr="004B7C23" w:rsidTr="003B7DDC">
        <w:trPr>
          <w:trHeight w:val="927"/>
        </w:trPr>
        <w:tc>
          <w:tcPr>
            <w:tcW w:w="1641" w:type="pct"/>
            <w:vAlign w:val="center"/>
          </w:tcPr>
          <w:p w:rsidR="004B7C23" w:rsidRPr="004B7C23" w:rsidRDefault="004B7C23" w:rsidP="004B7C23">
            <w:pPr>
              <w:spacing w:after="0" w:line="240" w:lineRule="auto"/>
              <w:ind w:right="-1"/>
              <w:jc w:val="center"/>
              <w:rPr>
                <w:rFonts w:ascii="Times New Roman" w:eastAsia="Times New Roman" w:hAnsi="Times New Roman"/>
                <w:b/>
              </w:rPr>
            </w:pPr>
            <w:r w:rsidRPr="004B7C23">
              <w:rPr>
                <w:rFonts w:ascii="Times New Roman" w:eastAsia="Times New Roman" w:hAnsi="Times New Roman"/>
                <w:b/>
              </w:rPr>
              <w:t>Pretendenta</w:t>
            </w:r>
          </w:p>
          <w:p w:rsidR="004B7C23" w:rsidRPr="004B7C23" w:rsidRDefault="004B7C23" w:rsidP="004B7C23">
            <w:pPr>
              <w:spacing w:after="0" w:line="240" w:lineRule="auto"/>
              <w:ind w:right="-1"/>
              <w:jc w:val="center"/>
              <w:rPr>
                <w:rFonts w:ascii="Times New Roman" w:eastAsia="Times New Roman" w:hAnsi="Times New Roman"/>
                <w:b/>
              </w:rPr>
            </w:pPr>
            <w:r w:rsidRPr="004B7C23">
              <w:rPr>
                <w:rFonts w:ascii="Times New Roman" w:eastAsia="Times New Roman" w:hAnsi="Times New Roman"/>
                <w:b/>
              </w:rPr>
              <w:t>nosaukums un reģistrācijas Nr.</w:t>
            </w:r>
          </w:p>
        </w:tc>
        <w:tc>
          <w:tcPr>
            <w:tcW w:w="1358" w:type="pct"/>
            <w:vAlign w:val="center"/>
          </w:tcPr>
          <w:p w:rsidR="004B7C23" w:rsidRPr="004B7C23" w:rsidRDefault="004B7C23" w:rsidP="004B7C23">
            <w:pPr>
              <w:spacing w:after="0" w:line="240" w:lineRule="auto"/>
              <w:ind w:right="-1"/>
              <w:jc w:val="center"/>
              <w:rPr>
                <w:rFonts w:ascii="Times New Roman" w:eastAsia="Times New Roman" w:hAnsi="Times New Roman"/>
                <w:b/>
              </w:rPr>
            </w:pPr>
            <w:r w:rsidRPr="004B7C23">
              <w:rPr>
                <w:rFonts w:ascii="Times New Roman" w:eastAsia="Times New Roman" w:hAnsi="Times New Roman"/>
                <w:b/>
              </w:rPr>
              <w:t>Pretendenta juridiskā</w:t>
            </w:r>
          </w:p>
          <w:p w:rsidR="004B7C23" w:rsidRPr="004B7C23" w:rsidRDefault="004B7C23" w:rsidP="004B7C23">
            <w:pPr>
              <w:spacing w:after="0" w:line="240" w:lineRule="auto"/>
              <w:ind w:right="-1"/>
              <w:jc w:val="center"/>
              <w:rPr>
                <w:rFonts w:ascii="Times New Roman" w:eastAsia="Times New Roman" w:hAnsi="Times New Roman"/>
                <w:b/>
              </w:rPr>
            </w:pPr>
            <w:r w:rsidRPr="004B7C23">
              <w:rPr>
                <w:rFonts w:ascii="Times New Roman" w:eastAsia="Times New Roman" w:hAnsi="Times New Roman"/>
                <w:b/>
              </w:rPr>
              <w:t>adrese</w:t>
            </w:r>
          </w:p>
        </w:tc>
        <w:tc>
          <w:tcPr>
            <w:tcW w:w="1253" w:type="pct"/>
            <w:vAlign w:val="center"/>
          </w:tcPr>
          <w:p w:rsidR="004B7C23" w:rsidRPr="004B7C23" w:rsidRDefault="004B7C23" w:rsidP="004B7C23">
            <w:pPr>
              <w:spacing w:after="0" w:line="240" w:lineRule="auto"/>
              <w:ind w:right="-1"/>
              <w:jc w:val="center"/>
              <w:rPr>
                <w:rFonts w:ascii="Times New Roman" w:eastAsia="Times New Roman" w:hAnsi="Times New Roman"/>
                <w:b/>
              </w:rPr>
            </w:pPr>
            <w:r w:rsidRPr="004B7C23">
              <w:rPr>
                <w:rFonts w:ascii="Times New Roman" w:eastAsia="Times New Roman" w:hAnsi="Times New Roman"/>
                <w:b/>
              </w:rPr>
              <w:t>Pretendenta piedāvājuma saņemšanas datums un laiks</w:t>
            </w:r>
          </w:p>
        </w:tc>
        <w:tc>
          <w:tcPr>
            <w:tcW w:w="748" w:type="pct"/>
            <w:vAlign w:val="center"/>
          </w:tcPr>
          <w:p w:rsidR="004B7C23" w:rsidRPr="004B7C23" w:rsidRDefault="004B7C23" w:rsidP="004B7C23">
            <w:pPr>
              <w:spacing w:after="0" w:line="240" w:lineRule="auto"/>
              <w:ind w:left="-95" w:right="-1"/>
              <w:jc w:val="center"/>
              <w:rPr>
                <w:rFonts w:ascii="Times New Roman" w:eastAsia="Times New Roman" w:hAnsi="Times New Roman"/>
                <w:b/>
              </w:rPr>
            </w:pPr>
            <w:r w:rsidRPr="004B7C23">
              <w:rPr>
                <w:rFonts w:ascii="Times New Roman" w:eastAsia="Times New Roman" w:hAnsi="Times New Roman"/>
                <w:b/>
              </w:rPr>
              <w:t>Piedāvājuma reģ.Nr.</w:t>
            </w:r>
          </w:p>
        </w:tc>
      </w:tr>
      <w:tr w:rsidR="004B7C23" w:rsidRPr="004B7C23" w:rsidTr="003B7DDC">
        <w:trPr>
          <w:trHeight w:val="723"/>
        </w:trPr>
        <w:tc>
          <w:tcPr>
            <w:tcW w:w="1641" w:type="pct"/>
            <w:vAlign w:val="center"/>
          </w:tcPr>
          <w:p w:rsidR="004B7C23" w:rsidRPr="004B7C23" w:rsidRDefault="004B7C23" w:rsidP="004B7C23">
            <w:pPr>
              <w:spacing w:after="0" w:line="240" w:lineRule="auto"/>
              <w:ind w:right="-1"/>
              <w:jc w:val="center"/>
              <w:rPr>
                <w:rFonts w:ascii="Times New Roman" w:hAnsi="Times New Roman"/>
                <w:bCs/>
                <w:noProof/>
                <w:lang w:eastAsia="lv-LV"/>
              </w:rPr>
            </w:pPr>
            <w:r w:rsidRPr="004B7C23">
              <w:rPr>
                <w:rFonts w:ascii="Times New Roman" w:hAnsi="Times New Roman"/>
                <w:bCs/>
                <w:noProof/>
                <w:lang w:eastAsia="lv-LV"/>
              </w:rPr>
              <w:t>SIA "HEKTORS",</w:t>
            </w:r>
          </w:p>
          <w:p w:rsidR="004B7C23" w:rsidRPr="004B7C23" w:rsidRDefault="004B7C23" w:rsidP="004B7C23">
            <w:pPr>
              <w:spacing w:after="0" w:line="240" w:lineRule="auto"/>
              <w:ind w:right="-1"/>
              <w:jc w:val="center"/>
              <w:rPr>
                <w:rFonts w:ascii="Times New Roman" w:hAnsi="Times New Roman"/>
                <w:bCs/>
                <w:noProof/>
                <w:lang w:eastAsia="lv-LV"/>
              </w:rPr>
            </w:pPr>
            <w:r w:rsidRPr="004B7C23">
              <w:rPr>
                <w:rFonts w:ascii="Times New Roman" w:hAnsi="Times New Roman"/>
                <w:bCs/>
                <w:noProof/>
                <w:lang w:eastAsia="lv-LV"/>
              </w:rPr>
              <w:t>reģistrācijas Nr. 5403001668</w:t>
            </w:r>
          </w:p>
        </w:tc>
        <w:tc>
          <w:tcPr>
            <w:tcW w:w="1358" w:type="pct"/>
            <w:vAlign w:val="center"/>
          </w:tcPr>
          <w:p w:rsidR="004B7C23" w:rsidRPr="004B7C23" w:rsidRDefault="004B7C23" w:rsidP="004B7C23">
            <w:pPr>
              <w:spacing w:after="0" w:line="240" w:lineRule="auto"/>
              <w:ind w:right="-1"/>
              <w:jc w:val="center"/>
              <w:rPr>
                <w:rFonts w:ascii="Times New Roman" w:hAnsi="Times New Roman"/>
                <w:bCs/>
                <w:noProof/>
              </w:rPr>
            </w:pPr>
            <w:r w:rsidRPr="004B7C23">
              <w:rPr>
                <w:rFonts w:ascii="Times New Roman" w:hAnsi="Times New Roman"/>
                <w:bCs/>
                <w:noProof/>
              </w:rPr>
              <w:t>Brīvības iela 3B, Jēkabpils, LV-5201</w:t>
            </w:r>
          </w:p>
        </w:tc>
        <w:tc>
          <w:tcPr>
            <w:tcW w:w="1253" w:type="pct"/>
            <w:vAlign w:val="center"/>
          </w:tcPr>
          <w:p w:rsidR="004B7C23" w:rsidRPr="004B7C23" w:rsidRDefault="004B7C23" w:rsidP="004B7C23">
            <w:pPr>
              <w:spacing w:after="0" w:line="240" w:lineRule="auto"/>
              <w:ind w:right="-1"/>
              <w:jc w:val="center"/>
              <w:rPr>
                <w:rFonts w:ascii="Times New Roman" w:hAnsi="Times New Roman"/>
                <w:noProof/>
              </w:rPr>
            </w:pPr>
            <w:r w:rsidRPr="004B7C23">
              <w:rPr>
                <w:rFonts w:ascii="Times New Roman" w:hAnsi="Times New Roman"/>
                <w:noProof/>
              </w:rPr>
              <w:t xml:space="preserve">2017.gada 4.septembrī, plkst. 10:40 </w:t>
            </w:r>
          </w:p>
        </w:tc>
        <w:tc>
          <w:tcPr>
            <w:tcW w:w="748" w:type="pct"/>
            <w:vAlign w:val="center"/>
          </w:tcPr>
          <w:p w:rsidR="004B7C23" w:rsidRPr="004B7C23" w:rsidRDefault="004B7C23" w:rsidP="004B7C23">
            <w:pPr>
              <w:spacing w:after="0" w:line="240" w:lineRule="auto"/>
              <w:ind w:right="-1"/>
              <w:jc w:val="center"/>
              <w:rPr>
                <w:rFonts w:ascii="Times New Roman" w:hAnsi="Times New Roman"/>
                <w:noProof/>
              </w:rPr>
            </w:pPr>
            <w:r w:rsidRPr="004B7C23">
              <w:rPr>
                <w:rFonts w:ascii="Times New Roman" w:hAnsi="Times New Roman"/>
                <w:noProof/>
              </w:rPr>
              <w:t>12887</w:t>
            </w:r>
          </w:p>
        </w:tc>
      </w:tr>
    </w:tbl>
    <w:p w:rsidR="0024338B" w:rsidRPr="00FE177A" w:rsidRDefault="0024338B" w:rsidP="00735D10">
      <w:pPr>
        <w:spacing w:after="0" w:line="240" w:lineRule="auto"/>
        <w:ind w:right="42"/>
        <w:jc w:val="both"/>
        <w:rPr>
          <w:rFonts w:ascii="Times New Roman" w:eastAsia="Times New Roman" w:hAnsi="Times New Roman"/>
          <w:sz w:val="24"/>
          <w:szCs w:val="24"/>
        </w:rPr>
      </w:pPr>
    </w:p>
    <w:p w:rsidR="00171A05" w:rsidRPr="00FE177A" w:rsidRDefault="00171A05" w:rsidP="00EF479B">
      <w:pPr>
        <w:spacing w:after="0" w:line="240" w:lineRule="auto"/>
        <w:ind w:right="42" w:firstLine="709"/>
        <w:jc w:val="both"/>
        <w:rPr>
          <w:rFonts w:ascii="Times New Roman" w:eastAsia="Times New Roman" w:hAnsi="Times New Roman"/>
          <w:color w:val="FF0000"/>
          <w:sz w:val="24"/>
          <w:szCs w:val="24"/>
        </w:rPr>
      </w:pPr>
    </w:p>
    <w:p w:rsidR="003F3EB2" w:rsidRPr="00FE177A" w:rsidRDefault="00576F77" w:rsidP="003F3EB2">
      <w:pPr>
        <w:pStyle w:val="BodyTextIndent2"/>
        <w:spacing w:before="120" w:after="120"/>
        <w:ind w:right="-1" w:firstLine="567"/>
        <w:rPr>
          <w:sz w:val="24"/>
        </w:rPr>
      </w:pPr>
      <w:r w:rsidRPr="007C57BC">
        <w:rPr>
          <w:sz w:val="24"/>
          <w:lang w:val="lv-LV"/>
        </w:rPr>
        <w:t xml:space="preserve"> </w:t>
      </w:r>
      <w:r w:rsidR="00BD0F27" w:rsidRPr="007C57BC">
        <w:rPr>
          <w:sz w:val="24"/>
        </w:rPr>
        <w:t xml:space="preserve">G. </w:t>
      </w:r>
      <w:r w:rsidR="00BD0F27" w:rsidRPr="007C57BC">
        <w:rPr>
          <w:sz w:val="24"/>
          <w:lang w:val="lv-LV"/>
        </w:rPr>
        <w:t>Bogdanov</w:t>
      </w:r>
      <w:r w:rsidR="003F3EB2" w:rsidRPr="007C57BC">
        <w:rPr>
          <w:sz w:val="24"/>
        </w:rPr>
        <w:t xml:space="preserve">s </w:t>
      </w:r>
      <w:r w:rsidR="003F3EB2" w:rsidRPr="00FE177A">
        <w:rPr>
          <w:sz w:val="24"/>
        </w:rPr>
        <w:t>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0A053A" w:rsidRPr="00FE177A" w:rsidTr="000A053A">
        <w:trPr>
          <w:trHeight w:val="486"/>
        </w:trPr>
        <w:tc>
          <w:tcPr>
            <w:tcW w:w="1061" w:type="pct"/>
            <w:vAlign w:val="center"/>
          </w:tcPr>
          <w:p w:rsidR="003F3EB2" w:rsidRPr="00A5356F" w:rsidRDefault="003F3EB2" w:rsidP="004C04F6">
            <w:pPr>
              <w:spacing w:after="0" w:line="240" w:lineRule="auto"/>
              <w:jc w:val="center"/>
              <w:rPr>
                <w:rFonts w:ascii="Times New Roman" w:hAnsi="Times New Roman"/>
                <w:b/>
                <w:sz w:val="24"/>
                <w:szCs w:val="24"/>
              </w:rPr>
            </w:pPr>
            <w:r w:rsidRPr="00A5356F">
              <w:rPr>
                <w:rFonts w:ascii="Times New Roman" w:hAnsi="Times New Roman"/>
                <w:b/>
                <w:sz w:val="24"/>
                <w:szCs w:val="24"/>
              </w:rPr>
              <w:t>Nolikuma apakšpunkta Nr.</w:t>
            </w:r>
          </w:p>
        </w:tc>
        <w:tc>
          <w:tcPr>
            <w:tcW w:w="3939" w:type="pct"/>
            <w:vAlign w:val="center"/>
          </w:tcPr>
          <w:p w:rsidR="003F3EB2" w:rsidRPr="00A5356F" w:rsidRDefault="003F3EB2" w:rsidP="004C04F6">
            <w:pPr>
              <w:spacing w:after="0" w:line="240" w:lineRule="auto"/>
              <w:jc w:val="center"/>
              <w:rPr>
                <w:rFonts w:ascii="Times New Roman" w:hAnsi="Times New Roman"/>
                <w:b/>
                <w:sz w:val="24"/>
                <w:szCs w:val="24"/>
              </w:rPr>
            </w:pPr>
            <w:r w:rsidRPr="00A5356F">
              <w:rPr>
                <w:rFonts w:ascii="Times New Roman" w:hAnsi="Times New Roman"/>
                <w:b/>
                <w:sz w:val="24"/>
                <w:szCs w:val="24"/>
              </w:rPr>
              <w:t xml:space="preserve">Nolikuma prasības </w:t>
            </w:r>
          </w:p>
        </w:tc>
      </w:tr>
      <w:tr w:rsidR="000A053A" w:rsidRPr="00FE177A" w:rsidTr="000A053A">
        <w:trPr>
          <w:trHeight w:val="217"/>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4.1.1.</w:t>
            </w:r>
          </w:p>
        </w:tc>
        <w:tc>
          <w:tcPr>
            <w:tcW w:w="3939" w:type="pct"/>
            <w:vAlign w:val="center"/>
          </w:tcPr>
          <w:p w:rsidR="003F3EB2" w:rsidRPr="00FE177A" w:rsidRDefault="004B7C23" w:rsidP="004C04F6">
            <w:pPr>
              <w:spacing w:after="0" w:line="240" w:lineRule="auto"/>
              <w:jc w:val="both"/>
              <w:rPr>
                <w:rFonts w:ascii="Times New Roman" w:hAnsi="Times New Roman"/>
                <w:sz w:val="24"/>
                <w:szCs w:val="24"/>
              </w:rPr>
            </w:pPr>
            <w:r w:rsidRPr="004B7C23">
              <w:rPr>
                <w:rFonts w:ascii="Times New Roman" w:hAnsi="Times New Roman"/>
                <w:sz w:val="24"/>
                <w:szCs w:val="24"/>
              </w:rPr>
              <w:t>Būvkomersanta reģistrācijas apliecības kopija un apliecinājums, ka pretendents nav izslēgts no būvkomersanta reģistra</w:t>
            </w:r>
          </w:p>
        </w:tc>
      </w:tr>
      <w:tr w:rsidR="000A053A" w:rsidRPr="00FE177A" w:rsidTr="000A053A">
        <w:trPr>
          <w:trHeight w:val="60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4.1.2.</w:t>
            </w:r>
          </w:p>
        </w:tc>
        <w:tc>
          <w:tcPr>
            <w:tcW w:w="3939" w:type="pct"/>
            <w:vAlign w:val="center"/>
          </w:tcPr>
          <w:p w:rsidR="003F3EB2" w:rsidRPr="00FE177A" w:rsidRDefault="004B7C23" w:rsidP="004C04F6">
            <w:pPr>
              <w:spacing w:after="0" w:line="240" w:lineRule="auto"/>
              <w:jc w:val="both"/>
              <w:rPr>
                <w:rFonts w:ascii="Times New Roman" w:hAnsi="Times New Roman"/>
                <w:sz w:val="24"/>
                <w:szCs w:val="24"/>
              </w:rPr>
            </w:pPr>
            <w:r w:rsidRPr="004B7C23">
              <w:rPr>
                <w:rFonts w:ascii="Times New Roman" w:hAnsi="Times New Roman"/>
                <w:sz w:val="24"/>
                <w:szCs w:val="24"/>
              </w:rPr>
              <w:t>apliecinājums, ka pretendents ir reģistrēts, licencēts vai sertificēts atbilstoši attiecīgās valsts normatīvo aktu prasībām un tam ir tiesības veikt komercdarbību būvdarbu izpildes jomā (atbilstoši Iepirkuma priekšmetam)</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4.1.3.</w:t>
            </w:r>
          </w:p>
        </w:tc>
        <w:tc>
          <w:tcPr>
            <w:tcW w:w="3939" w:type="pct"/>
            <w:vAlign w:val="center"/>
          </w:tcPr>
          <w:p w:rsidR="003F3EB2" w:rsidRPr="00FE177A" w:rsidRDefault="004B7C23" w:rsidP="004C04F6">
            <w:pPr>
              <w:spacing w:after="0" w:line="240" w:lineRule="auto"/>
              <w:jc w:val="both"/>
              <w:rPr>
                <w:rFonts w:ascii="Times New Roman" w:hAnsi="Times New Roman"/>
                <w:sz w:val="24"/>
                <w:szCs w:val="24"/>
              </w:rPr>
            </w:pPr>
            <w:r w:rsidRPr="004B7C23">
              <w:rPr>
                <w:rFonts w:ascii="Times New Roman" w:hAnsi="Times New Roman"/>
                <w:sz w:val="24"/>
                <w:szCs w:val="24"/>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Objektiem, kuros attiecīgie darbi veikti, jābūt pabeigtiem un pieņemtiem ekspluatācijā</w:t>
            </w:r>
          </w:p>
        </w:tc>
      </w:tr>
      <w:tr w:rsidR="000A053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4.1.4.</w:t>
            </w:r>
          </w:p>
        </w:tc>
        <w:tc>
          <w:tcPr>
            <w:tcW w:w="3939" w:type="pct"/>
            <w:vAlign w:val="center"/>
          </w:tcPr>
          <w:p w:rsidR="003F3EB2"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atsauksmes no Nolikuma 4.1.3. apakšpunktā minēto pakalpojumu saņēmējiem. Atsauksmēs jābūt norādei vai līgums tika izpildīts noteiktajā termiņā un kvalitatīvi</w:t>
            </w:r>
          </w:p>
        </w:tc>
      </w:tr>
      <w:tr w:rsidR="0010417A" w:rsidRPr="00FE177A" w:rsidTr="000A053A">
        <w:trPr>
          <w:trHeight w:val="420"/>
        </w:trPr>
        <w:tc>
          <w:tcPr>
            <w:tcW w:w="1061" w:type="pct"/>
            <w:vAlign w:val="center"/>
          </w:tcPr>
          <w:p w:rsidR="003F3EB2" w:rsidRPr="00FE177A" w:rsidRDefault="003F3EB2" w:rsidP="004C04F6">
            <w:pPr>
              <w:spacing w:after="0" w:line="240" w:lineRule="auto"/>
              <w:jc w:val="center"/>
              <w:rPr>
                <w:rFonts w:ascii="Times New Roman" w:hAnsi="Times New Roman"/>
                <w:sz w:val="24"/>
                <w:szCs w:val="24"/>
              </w:rPr>
            </w:pPr>
            <w:r w:rsidRPr="00FE177A">
              <w:rPr>
                <w:rFonts w:ascii="Times New Roman" w:hAnsi="Times New Roman"/>
                <w:sz w:val="24"/>
                <w:szCs w:val="24"/>
              </w:rPr>
              <w:t>4.1.5.</w:t>
            </w:r>
          </w:p>
        </w:tc>
        <w:tc>
          <w:tcPr>
            <w:tcW w:w="3939" w:type="pct"/>
            <w:vAlign w:val="center"/>
          </w:tcPr>
          <w:p w:rsidR="003F3EB2"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9E4223" w:rsidRPr="00FE177A" w:rsidTr="000A053A">
        <w:trPr>
          <w:trHeight w:val="420"/>
        </w:trPr>
        <w:tc>
          <w:tcPr>
            <w:tcW w:w="1061" w:type="pct"/>
            <w:vAlign w:val="center"/>
          </w:tcPr>
          <w:p w:rsidR="009E4223" w:rsidRPr="00FE177A" w:rsidRDefault="009E4223" w:rsidP="004C04F6">
            <w:pPr>
              <w:spacing w:after="0" w:line="240" w:lineRule="auto"/>
              <w:jc w:val="center"/>
              <w:rPr>
                <w:rFonts w:ascii="Times New Roman" w:hAnsi="Times New Roman"/>
                <w:sz w:val="24"/>
                <w:szCs w:val="24"/>
              </w:rPr>
            </w:pPr>
            <w:r>
              <w:rPr>
                <w:rFonts w:ascii="Times New Roman" w:hAnsi="Times New Roman"/>
                <w:sz w:val="24"/>
                <w:szCs w:val="24"/>
              </w:rPr>
              <w:t>4.1.6.</w:t>
            </w:r>
          </w:p>
        </w:tc>
        <w:tc>
          <w:tcPr>
            <w:tcW w:w="3939" w:type="pct"/>
            <w:vAlign w:val="center"/>
          </w:tcPr>
          <w:p w:rsidR="009E4223" w:rsidRPr="00FE177A"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kas atbilst Nolikuma 3. pielikumā norādītajam</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4.1.7.</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ka pretendents nodrošinās atbildīgo būvdarbu vadītāju, kuram ir būvprakses sertifikāts un darba pieredze vismaz 2 (divu) līdzīgu pēc rakstura, nozīmes, apjoma būvdarbu līgumu vadīšanā pēdējo 3 (trīs) gadu laikā no</w:t>
            </w:r>
            <w:r>
              <w:rPr>
                <w:rFonts w:ascii="Times New Roman" w:hAnsi="Times New Roman"/>
                <w:sz w:val="24"/>
                <w:szCs w:val="24"/>
              </w:rPr>
              <w:t xml:space="preserve"> piedāvājuma iesniegšanas brīža</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4.1.8.</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4.1.9.</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4.1.10.</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apliecinājums (gada bilances peļņas un zaudējumu aprēķini vai līdzvērtīgs dokuments no valsts, kurā pretendents ir reģistrēts) par tā vidējo gada apgrozījumu 3 (trīs) iepriekšējo finanšu gadu (2014., 2015., 2016. gadu) un 2017. gada (līdz piedāvājuma iesniegšanas brīdim) laikā. Pretendenta vidējam gada apgrozījumam norādītajā laikā jābūt divreiz lielākam par piedāvātas kopējas līgumcenas</w:t>
            </w:r>
          </w:p>
        </w:tc>
      </w:tr>
      <w:tr w:rsidR="004B7C23" w:rsidRPr="00FE177A" w:rsidTr="000A053A">
        <w:trPr>
          <w:trHeight w:val="420"/>
        </w:trPr>
        <w:tc>
          <w:tcPr>
            <w:tcW w:w="1061" w:type="pct"/>
            <w:vAlign w:val="center"/>
          </w:tcPr>
          <w:p w:rsidR="004B7C23" w:rsidRDefault="004B7C23" w:rsidP="004C04F6">
            <w:pPr>
              <w:spacing w:after="0" w:line="240" w:lineRule="auto"/>
              <w:jc w:val="center"/>
              <w:rPr>
                <w:rFonts w:ascii="Times New Roman" w:hAnsi="Times New Roman"/>
                <w:sz w:val="24"/>
                <w:szCs w:val="24"/>
              </w:rPr>
            </w:pPr>
            <w:r>
              <w:rPr>
                <w:rFonts w:ascii="Times New Roman" w:hAnsi="Times New Roman"/>
                <w:sz w:val="24"/>
                <w:szCs w:val="24"/>
              </w:rPr>
              <w:t>4.1.11.</w:t>
            </w:r>
          </w:p>
        </w:tc>
        <w:tc>
          <w:tcPr>
            <w:tcW w:w="3939" w:type="pct"/>
            <w:vAlign w:val="center"/>
          </w:tcPr>
          <w:p w:rsidR="004B7C23" w:rsidRPr="004D4173" w:rsidRDefault="004B7C23" w:rsidP="004C04F6">
            <w:pPr>
              <w:pStyle w:val="NoSpacing"/>
              <w:jc w:val="both"/>
              <w:rPr>
                <w:rFonts w:ascii="Times New Roman" w:hAnsi="Times New Roman"/>
                <w:sz w:val="24"/>
                <w:szCs w:val="24"/>
              </w:rPr>
            </w:pPr>
            <w:r w:rsidRPr="004B7C23">
              <w:rPr>
                <w:rFonts w:ascii="Times New Roman" w:hAnsi="Times New Roman"/>
                <w:sz w:val="24"/>
                <w:szCs w:val="24"/>
              </w:rPr>
              <w:t>Pretendents, kas attiecīgajā tirgū darbojas mazāk, nekā 2 (divus) kalendāros gadus iesniedz Nolikuma 4.1.10. apakšpunktā minēto dokumentu tikai par periodu no darbības uzsākšanas brīža (bet vidējam gada apgrozījumam jābūt divreiz lielākam par piedāvātas kopējas līgumcenas)</w:t>
            </w:r>
          </w:p>
        </w:tc>
      </w:tr>
    </w:tbl>
    <w:p w:rsidR="003F3EB2" w:rsidRPr="00FE177A" w:rsidRDefault="00BD0F27" w:rsidP="003F3EB2">
      <w:pPr>
        <w:spacing w:before="120" w:after="120"/>
        <w:ind w:right="-93" w:firstLine="567"/>
        <w:jc w:val="both"/>
        <w:rPr>
          <w:rFonts w:ascii="Times New Roman" w:hAnsi="Times New Roman"/>
          <w:sz w:val="24"/>
          <w:szCs w:val="24"/>
        </w:rPr>
      </w:pPr>
      <w:r w:rsidRPr="007C57BC">
        <w:rPr>
          <w:rFonts w:ascii="Times New Roman" w:hAnsi="Times New Roman"/>
          <w:sz w:val="24"/>
          <w:szCs w:val="24"/>
        </w:rPr>
        <w:t>G. Bogdanov</w:t>
      </w:r>
      <w:r w:rsidR="003F3EB2" w:rsidRPr="007C57BC">
        <w:rPr>
          <w:rFonts w:ascii="Times New Roman" w:hAnsi="Times New Roman"/>
          <w:sz w:val="24"/>
          <w:szCs w:val="24"/>
        </w:rPr>
        <w:t xml:space="preserve">s </w:t>
      </w:r>
      <w:r w:rsidR="001D63A9">
        <w:rPr>
          <w:rFonts w:ascii="Times New Roman" w:hAnsi="Times New Roman"/>
          <w:sz w:val="24"/>
          <w:szCs w:val="24"/>
        </w:rPr>
        <w:t>ziņo par pretendenta iesniegto piedāvājuma</w:t>
      </w:r>
      <w:r w:rsidR="003F3EB2" w:rsidRPr="00FE177A">
        <w:rPr>
          <w:rFonts w:ascii="Times New Roman" w:hAnsi="Times New Roman"/>
          <w:sz w:val="24"/>
          <w:szCs w:val="24"/>
        </w:rPr>
        <w:t xml:space="preserve"> atbilstību Nolikuma kvalifikācijas prasībām.</w:t>
      </w:r>
    </w:p>
    <w:tbl>
      <w:tblPr>
        <w:tblStyle w:val="TableGrid"/>
        <w:tblW w:w="5000" w:type="pct"/>
        <w:tblLook w:val="04A0" w:firstRow="1" w:lastRow="0" w:firstColumn="1" w:lastColumn="0" w:noHBand="0" w:noVBand="1"/>
      </w:tblPr>
      <w:tblGrid>
        <w:gridCol w:w="1981"/>
        <w:gridCol w:w="7080"/>
      </w:tblGrid>
      <w:tr w:rsidR="004B7C23" w:rsidRPr="00644B97" w:rsidTr="004B7C23">
        <w:trPr>
          <w:trHeight w:val="936"/>
        </w:trPr>
        <w:tc>
          <w:tcPr>
            <w:tcW w:w="1093" w:type="pct"/>
            <w:vAlign w:val="center"/>
          </w:tcPr>
          <w:p w:rsidR="004B7C23" w:rsidRPr="00A5356F" w:rsidRDefault="004B7C23" w:rsidP="00644B97">
            <w:pPr>
              <w:pStyle w:val="BodyTextIndent2"/>
              <w:spacing w:before="120" w:after="120"/>
              <w:ind w:right="-108" w:firstLine="0"/>
              <w:jc w:val="center"/>
              <w:rPr>
                <w:b/>
                <w:sz w:val="24"/>
                <w:lang w:val="lv-LV"/>
              </w:rPr>
            </w:pPr>
            <w:r w:rsidRPr="00A5356F">
              <w:rPr>
                <w:b/>
                <w:sz w:val="24"/>
                <w:lang w:val="lv-LV"/>
              </w:rPr>
              <w:t xml:space="preserve">Nolikuma </w:t>
            </w:r>
            <w:r w:rsidRPr="00A5356F">
              <w:rPr>
                <w:b/>
                <w:sz w:val="24"/>
                <w:lang w:val="lv-LV"/>
              </w:rPr>
              <w:br/>
              <w:t>apakšpunkts</w:t>
            </w:r>
          </w:p>
        </w:tc>
        <w:tc>
          <w:tcPr>
            <w:tcW w:w="3907" w:type="pct"/>
          </w:tcPr>
          <w:p w:rsidR="004B7C23" w:rsidRPr="00A5356F" w:rsidRDefault="004B7C23" w:rsidP="004B7C23">
            <w:pPr>
              <w:pStyle w:val="BodyTextIndent2"/>
              <w:spacing w:before="120" w:after="120"/>
              <w:ind w:right="-112"/>
              <w:jc w:val="center"/>
              <w:rPr>
                <w:b/>
                <w:sz w:val="24"/>
                <w:lang w:val="lv-LV"/>
              </w:rPr>
            </w:pPr>
            <w:r w:rsidRPr="00A5356F">
              <w:rPr>
                <w:b/>
                <w:sz w:val="24"/>
                <w:lang w:val="lv-LV"/>
              </w:rPr>
              <w:t>SIA "HEKTORS"</w:t>
            </w:r>
          </w:p>
          <w:p w:rsidR="004B7C23" w:rsidRPr="00A5356F" w:rsidRDefault="004B7C23" w:rsidP="004B7C23">
            <w:pPr>
              <w:pStyle w:val="BodyTextIndent2"/>
              <w:spacing w:before="120" w:after="120"/>
              <w:ind w:right="-112"/>
              <w:jc w:val="center"/>
              <w:rPr>
                <w:b/>
                <w:sz w:val="24"/>
                <w:lang w:val="lv-LV"/>
              </w:rPr>
            </w:pPr>
            <w:r w:rsidRPr="00A5356F">
              <w:rPr>
                <w:b/>
                <w:sz w:val="24"/>
                <w:lang w:val="lv-LV"/>
              </w:rPr>
              <w:t>reģistrācijas Nr. 5403001668</w:t>
            </w:r>
          </w:p>
        </w:tc>
      </w:tr>
      <w:tr w:rsidR="004B7C23" w:rsidRPr="00644B97" w:rsidTr="004B7C23">
        <w:tc>
          <w:tcPr>
            <w:tcW w:w="1093" w:type="pct"/>
            <w:vAlign w:val="center"/>
          </w:tcPr>
          <w:p w:rsidR="004B7C23" w:rsidRPr="00644B97" w:rsidRDefault="004B7C23" w:rsidP="004B7C23">
            <w:pPr>
              <w:pStyle w:val="BodyTextIndent2"/>
              <w:spacing w:before="120" w:after="120"/>
              <w:ind w:firstLine="0"/>
              <w:jc w:val="center"/>
              <w:rPr>
                <w:sz w:val="24"/>
                <w:lang w:val="lv-LV"/>
              </w:rPr>
            </w:pPr>
            <w:r w:rsidRPr="00644B97">
              <w:rPr>
                <w:sz w:val="24"/>
                <w:lang w:val="lv-LV"/>
              </w:rPr>
              <w:t>4.1.1.</w:t>
            </w:r>
          </w:p>
        </w:tc>
        <w:tc>
          <w:tcPr>
            <w:tcW w:w="3907" w:type="pct"/>
          </w:tcPr>
          <w:p w:rsidR="004B7C23" w:rsidRPr="00644B97" w:rsidRDefault="00A67C86"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1D173B">
            <w:pPr>
              <w:pStyle w:val="BodyTextIndent2"/>
              <w:spacing w:before="120" w:after="120"/>
              <w:ind w:firstLine="0"/>
              <w:jc w:val="center"/>
              <w:rPr>
                <w:sz w:val="24"/>
                <w:lang w:val="lv-LV"/>
              </w:rPr>
            </w:pPr>
            <w:r w:rsidRPr="00644B97">
              <w:rPr>
                <w:sz w:val="24"/>
                <w:lang w:val="lv-LV"/>
              </w:rPr>
              <w:t>4.1.2</w:t>
            </w:r>
            <w:r w:rsidR="00A5356F">
              <w:rPr>
                <w:sz w:val="24"/>
                <w:lang w:val="lv-LV"/>
              </w:rPr>
              <w:t>.</w:t>
            </w:r>
          </w:p>
        </w:tc>
        <w:tc>
          <w:tcPr>
            <w:tcW w:w="3907" w:type="pct"/>
          </w:tcPr>
          <w:p w:rsidR="004B7C23" w:rsidRPr="00644B97" w:rsidRDefault="00A67C86"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sidRPr="00644B97">
              <w:rPr>
                <w:sz w:val="24"/>
                <w:lang w:val="lv-LV"/>
              </w:rPr>
              <w:t>4.1.3.</w:t>
            </w:r>
          </w:p>
        </w:tc>
        <w:tc>
          <w:tcPr>
            <w:tcW w:w="3907" w:type="pct"/>
          </w:tcPr>
          <w:p w:rsidR="004B7C23" w:rsidRPr="00644B97" w:rsidRDefault="00A67C86"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sidRPr="00644B97">
              <w:rPr>
                <w:sz w:val="24"/>
                <w:lang w:val="lv-LV"/>
              </w:rPr>
              <w:t>4.1.4.</w:t>
            </w:r>
          </w:p>
        </w:tc>
        <w:tc>
          <w:tcPr>
            <w:tcW w:w="3907" w:type="pct"/>
          </w:tcPr>
          <w:p w:rsidR="004B7C23" w:rsidRPr="00644B97" w:rsidRDefault="00A67C86"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sidRPr="00644B97">
              <w:rPr>
                <w:sz w:val="24"/>
                <w:lang w:val="lv-LV"/>
              </w:rPr>
              <w:t>4.1.5.</w:t>
            </w:r>
          </w:p>
        </w:tc>
        <w:tc>
          <w:tcPr>
            <w:tcW w:w="3907" w:type="pct"/>
          </w:tcPr>
          <w:p w:rsidR="004B7C23" w:rsidRPr="00644B97" w:rsidRDefault="00BC5800"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sidRPr="00644B97">
              <w:rPr>
                <w:sz w:val="24"/>
                <w:lang w:val="lv-LV"/>
              </w:rPr>
              <w:t>4.1.6</w:t>
            </w:r>
            <w:r>
              <w:rPr>
                <w:sz w:val="24"/>
                <w:lang w:val="lv-LV"/>
              </w:rPr>
              <w:t>.</w:t>
            </w:r>
          </w:p>
        </w:tc>
        <w:tc>
          <w:tcPr>
            <w:tcW w:w="3907" w:type="pct"/>
          </w:tcPr>
          <w:p w:rsidR="004B7C23" w:rsidRPr="00644B97" w:rsidRDefault="00BC5800" w:rsidP="00E43DDA">
            <w:pPr>
              <w:pStyle w:val="BodyTextIndent2"/>
              <w:spacing w:before="120" w:after="120"/>
              <w:ind w:right="-908" w:firstLine="0"/>
              <w:rPr>
                <w:sz w:val="24"/>
                <w:lang w:val="lv-LV"/>
              </w:rPr>
            </w:pPr>
            <w:r>
              <w:rPr>
                <w:sz w:val="24"/>
                <w:lang w:val="lv-LV"/>
              </w:rPr>
              <w:t>Ir iesniegts/atbilst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Pr>
                <w:sz w:val="24"/>
                <w:lang w:val="lv-LV"/>
              </w:rPr>
              <w:t>4.1.7.</w:t>
            </w:r>
          </w:p>
        </w:tc>
        <w:tc>
          <w:tcPr>
            <w:tcW w:w="3907" w:type="pct"/>
          </w:tcPr>
          <w:p w:rsidR="004B7C23" w:rsidRPr="00644B97" w:rsidRDefault="00BC5800" w:rsidP="00E43DDA">
            <w:pPr>
              <w:pStyle w:val="BodyTextIndent2"/>
              <w:spacing w:before="120" w:after="120"/>
              <w:ind w:right="-908" w:firstLine="0"/>
              <w:rPr>
                <w:sz w:val="24"/>
                <w:lang w:val="lv-LV"/>
              </w:rPr>
            </w:pPr>
            <w:r>
              <w:rPr>
                <w:sz w:val="24"/>
                <w:lang w:val="lv-LV"/>
              </w:rPr>
              <w:t>Ir iesniegts/atbilst</w:t>
            </w:r>
          </w:p>
        </w:tc>
      </w:tr>
      <w:tr w:rsidR="001D63A9" w:rsidRPr="00644B97" w:rsidTr="001D63A9">
        <w:trPr>
          <w:trHeight w:val="213"/>
        </w:trPr>
        <w:tc>
          <w:tcPr>
            <w:tcW w:w="1093" w:type="pct"/>
            <w:vMerge w:val="restart"/>
            <w:vAlign w:val="center"/>
          </w:tcPr>
          <w:p w:rsidR="001D63A9" w:rsidRPr="00644B97" w:rsidRDefault="001D63A9" w:rsidP="00644B97">
            <w:pPr>
              <w:pStyle w:val="BodyTextIndent2"/>
              <w:spacing w:before="120" w:after="120"/>
              <w:ind w:firstLine="0"/>
              <w:jc w:val="center"/>
              <w:rPr>
                <w:sz w:val="24"/>
                <w:lang w:val="lv-LV"/>
              </w:rPr>
            </w:pPr>
            <w:r>
              <w:rPr>
                <w:sz w:val="24"/>
                <w:lang w:val="lv-LV"/>
              </w:rPr>
              <w:t>4.1.8.</w:t>
            </w:r>
          </w:p>
        </w:tc>
        <w:tc>
          <w:tcPr>
            <w:tcW w:w="3907" w:type="pct"/>
          </w:tcPr>
          <w:p w:rsidR="001D63A9" w:rsidRPr="00644B97" w:rsidRDefault="001D63A9" w:rsidP="00E43DDA">
            <w:pPr>
              <w:pStyle w:val="BodyTextIndent2"/>
              <w:spacing w:before="120" w:after="120"/>
              <w:ind w:right="-908" w:firstLine="0"/>
              <w:rPr>
                <w:sz w:val="24"/>
                <w:lang w:val="lv-LV"/>
              </w:rPr>
            </w:pPr>
            <w:r>
              <w:rPr>
                <w:sz w:val="24"/>
                <w:lang w:val="lv-LV"/>
              </w:rPr>
              <w:t>Ir iesniegts/atbilst</w:t>
            </w:r>
          </w:p>
        </w:tc>
      </w:tr>
      <w:tr w:rsidR="001D63A9" w:rsidRPr="00644B97" w:rsidTr="004B7C23">
        <w:trPr>
          <w:trHeight w:val="213"/>
        </w:trPr>
        <w:tc>
          <w:tcPr>
            <w:tcW w:w="1093" w:type="pct"/>
            <w:vMerge/>
            <w:vAlign w:val="center"/>
          </w:tcPr>
          <w:p w:rsidR="001D63A9" w:rsidRDefault="001D63A9" w:rsidP="00644B97">
            <w:pPr>
              <w:pStyle w:val="BodyTextIndent2"/>
              <w:spacing w:before="120" w:after="120"/>
              <w:ind w:firstLine="0"/>
              <w:jc w:val="center"/>
              <w:rPr>
                <w:sz w:val="24"/>
                <w:lang w:val="lv-LV"/>
              </w:rPr>
            </w:pPr>
          </w:p>
        </w:tc>
        <w:tc>
          <w:tcPr>
            <w:tcW w:w="3907" w:type="pct"/>
          </w:tcPr>
          <w:p w:rsidR="001D63A9" w:rsidRDefault="001D63A9" w:rsidP="00E43DDA">
            <w:pPr>
              <w:pStyle w:val="BodyTextIndent2"/>
              <w:spacing w:before="120" w:after="120"/>
              <w:ind w:right="-908" w:firstLine="0"/>
              <w:rPr>
                <w:sz w:val="24"/>
                <w:lang w:val="lv-LV"/>
              </w:rPr>
            </w:pPr>
            <w:r>
              <w:rPr>
                <w:sz w:val="24"/>
                <w:lang w:val="lv-LV"/>
              </w:rPr>
              <w:t xml:space="preserve">Ir </w:t>
            </w:r>
            <w:r w:rsidR="004309C3">
              <w:rPr>
                <w:sz w:val="24"/>
                <w:lang w:val="lv-LV"/>
              </w:rPr>
              <w:t>iesniegts</w:t>
            </w:r>
            <w:r>
              <w:rPr>
                <w:sz w:val="24"/>
                <w:lang w:val="lv-LV"/>
              </w:rPr>
              <w:t>/atbilst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Pr>
                <w:sz w:val="24"/>
                <w:lang w:val="lv-LV"/>
              </w:rPr>
              <w:t>4.1.9.</w:t>
            </w:r>
          </w:p>
        </w:tc>
        <w:tc>
          <w:tcPr>
            <w:tcW w:w="3907" w:type="pct"/>
          </w:tcPr>
          <w:p w:rsidR="004B7C23" w:rsidRPr="00644B97" w:rsidRDefault="001D63A9" w:rsidP="00E43DDA">
            <w:pPr>
              <w:pStyle w:val="BodyTextIndent2"/>
              <w:spacing w:before="120" w:after="120"/>
              <w:ind w:right="-908" w:firstLine="0"/>
              <w:rPr>
                <w:sz w:val="24"/>
                <w:lang w:val="lv-LV"/>
              </w:rPr>
            </w:pPr>
            <w:r>
              <w:rPr>
                <w:sz w:val="24"/>
                <w:lang w:val="lv-LV"/>
              </w:rPr>
              <w:t>Nav nepieciešams</w:t>
            </w:r>
          </w:p>
        </w:tc>
      </w:tr>
      <w:tr w:rsidR="004B7C23" w:rsidRPr="00644B97" w:rsidTr="004B7C23">
        <w:tc>
          <w:tcPr>
            <w:tcW w:w="1093" w:type="pct"/>
            <w:vAlign w:val="center"/>
          </w:tcPr>
          <w:p w:rsidR="004B7C23" w:rsidRPr="00644B97" w:rsidRDefault="004B7C23" w:rsidP="004B7C23">
            <w:pPr>
              <w:pStyle w:val="BodyTextIndent2"/>
              <w:spacing w:before="120" w:after="120"/>
              <w:ind w:firstLine="0"/>
              <w:jc w:val="center"/>
              <w:rPr>
                <w:sz w:val="24"/>
                <w:lang w:val="lv-LV"/>
              </w:rPr>
            </w:pPr>
            <w:r>
              <w:rPr>
                <w:sz w:val="24"/>
                <w:lang w:val="lv-LV"/>
              </w:rPr>
              <w:t>4.1.10.</w:t>
            </w:r>
          </w:p>
        </w:tc>
        <w:tc>
          <w:tcPr>
            <w:tcW w:w="3907" w:type="pct"/>
          </w:tcPr>
          <w:p w:rsidR="004B7C23" w:rsidRPr="00644B97" w:rsidRDefault="001D63A9" w:rsidP="00E43DDA">
            <w:pPr>
              <w:pStyle w:val="BodyTextIndent2"/>
              <w:spacing w:before="120" w:after="120"/>
              <w:ind w:right="-908" w:firstLine="0"/>
              <w:rPr>
                <w:sz w:val="24"/>
                <w:lang w:val="lv-LV"/>
              </w:rPr>
            </w:pPr>
            <w:r>
              <w:rPr>
                <w:sz w:val="24"/>
                <w:lang w:val="lv-LV"/>
              </w:rPr>
              <w:t xml:space="preserve">Ir </w:t>
            </w:r>
            <w:r w:rsidR="004309C3">
              <w:rPr>
                <w:sz w:val="24"/>
                <w:lang w:val="lv-LV"/>
              </w:rPr>
              <w:t>iesniegts</w:t>
            </w:r>
            <w:r>
              <w:rPr>
                <w:sz w:val="24"/>
                <w:lang w:val="lv-LV"/>
              </w:rPr>
              <w:t>/atbilst</w:t>
            </w:r>
          </w:p>
        </w:tc>
      </w:tr>
      <w:tr w:rsidR="004B7C23" w:rsidRPr="00644B97" w:rsidTr="004B7C23">
        <w:tc>
          <w:tcPr>
            <w:tcW w:w="1093" w:type="pct"/>
            <w:vAlign w:val="center"/>
          </w:tcPr>
          <w:p w:rsidR="004B7C23" w:rsidRPr="00644B97" w:rsidRDefault="004B7C23" w:rsidP="00644B97">
            <w:pPr>
              <w:pStyle w:val="BodyTextIndent2"/>
              <w:spacing w:before="120" w:after="120"/>
              <w:ind w:firstLine="0"/>
              <w:jc w:val="center"/>
              <w:rPr>
                <w:sz w:val="24"/>
                <w:lang w:val="lv-LV"/>
              </w:rPr>
            </w:pPr>
            <w:r>
              <w:rPr>
                <w:sz w:val="24"/>
                <w:lang w:val="lv-LV"/>
              </w:rPr>
              <w:t>4.1.11.</w:t>
            </w:r>
          </w:p>
        </w:tc>
        <w:tc>
          <w:tcPr>
            <w:tcW w:w="3907" w:type="pct"/>
          </w:tcPr>
          <w:p w:rsidR="004B7C23" w:rsidRPr="00644B97" w:rsidRDefault="001D63A9" w:rsidP="00E43DDA">
            <w:pPr>
              <w:pStyle w:val="BodyTextIndent2"/>
              <w:spacing w:before="120" w:after="120"/>
              <w:ind w:right="-908" w:firstLine="0"/>
              <w:rPr>
                <w:sz w:val="24"/>
                <w:lang w:val="lv-LV"/>
              </w:rPr>
            </w:pPr>
            <w:r>
              <w:rPr>
                <w:sz w:val="24"/>
                <w:lang w:val="lv-LV"/>
              </w:rPr>
              <w:t>Nav nepieciešams</w:t>
            </w:r>
          </w:p>
        </w:tc>
      </w:tr>
    </w:tbl>
    <w:p w:rsidR="003F3EB2" w:rsidRPr="00FF7E7C" w:rsidRDefault="00DC6F22" w:rsidP="0020525C">
      <w:pPr>
        <w:pStyle w:val="BodyTextIndent2"/>
        <w:spacing w:before="120" w:after="120"/>
        <w:ind w:right="-1"/>
        <w:rPr>
          <w:sz w:val="24"/>
          <w:lang w:val="lv-LV"/>
        </w:rPr>
      </w:pPr>
      <w:r w:rsidRPr="00FF7E7C">
        <w:rPr>
          <w:sz w:val="24"/>
          <w:lang w:val="lv-LV"/>
        </w:rPr>
        <w:t>Atbilstoši Nolikuma 4.1.9. apakšpunktam p</w:t>
      </w:r>
      <w:r w:rsidR="001D63A9" w:rsidRPr="00FF7E7C">
        <w:rPr>
          <w:sz w:val="24"/>
          <w:lang w:val="lv-LV"/>
        </w:rPr>
        <w:t xml:space="preserve">retendents darbu izpildei var piesaistīt apakšuzņēmējus. Tādā gadījumā </w:t>
      </w:r>
      <w:r w:rsidRPr="00FF7E7C">
        <w:rPr>
          <w:sz w:val="24"/>
          <w:lang w:val="lv-LV"/>
        </w:rPr>
        <w:t xml:space="preserve">pretendentam ir jāiesniedz vairāki dokumenti un </w:t>
      </w:r>
      <w:r w:rsidR="001A2D13" w:rsidRPr="00FF7E7C">
        <w:rPr>
          <w:sz w:val="24"/>
          <w:lang w:val="lv-LV"/>
        </w:rPr>
        <w:t xml:space="preserve">apakšuzņēmējam </w:t>
      </w:r>
      <w:r w:rsidRPr="00FF7E7C">
        <w:rPr>
          <w:sz w:val="24"/>
          <w:lang w:val="lv-LV"/>
        </w:rPr>
        <w:t>jāatbilst tādām pašām kvalifikācijas prasībām kā pretendentam. SIA "</w:t>
      </w:r>
      <w:r w:rsidR="004309C3" w:rsidRPr="001D63A9">
        <w:rPr>
          <w:sz w:val="24"/>
        </w:rPr>
        <w:t>HEKTORS</w:t>
      </w:r>
      <w:r w:rsidRPr="00FF7E7C">
        <w:rPr>
          <w:sz w:val="24"/>
          <w:lang w:val="lv-LV"/>
        </w:rPr>
        <w:t xml:space="preserve">" nav norādījis, ka darbu izpildē tiks piesaistīti apakšuzņēmēji, līdz ar to </w:t>
      </w:r>
      <w:r w:rsidR="005832F1">
        <w:rPr>
          <w:sz w:val="24"/>
          <w:lang w:val="lv-LV"/>
        </w:rPr>
        <w:t xml:space="preserve">uz </w:t>
      </w:r>
      <w:r w:rsidRPr="00FF7E7C">
        <w:rPr>
          <w:sz w:val="24"/>
          <w:lang w:val="lv-LV"/>
        </w:rPr>
        <w:t xml:space="preserve">pretendentam </w:t>
      </w:r>
      <w:r w:rsidR="005832F1">
        <w:rPr>
          <w:sz w:val="24"/>
          <w:lang w:val="lv-LV"/>
        </w:rPr>
        <w:t>neattiecas</w:t>
      </w:r>
      <w:r w:rsidRPr="00FF7E7C">
        <w:rPr>
          <w:sz w:val="24"/>
          <w:lang w:val="lv-LV"/>
        </w:rPr>
        <w:t xml:space="preserve"> Nolikuma 4.1.9. apakšpunktā izvirzītās prasības.</w:t>
      </w:r>
    </w:p>
    <w:p w:rsidR="00013C3F" w:rsidRPr="00FF7E7C" w:rsidRDefault="00DC6F22" w:rsidP="005832F1">
      <w:pPr>
        <w:pStyle w:val="BodyTextIndent2"/>
        <w:spacing w:before="120" w:after="120"/>
        <w:ind w:right="-1" w:firstLine="567"/>
        <w:rPr>
          <w:sz w:val="24"/>
          <w:lang w:val="lv-LV"/>
        </w:rPr>
      </w:pPr>
      <w:r w:rsidRPr="00FF7E7C">
        <w:rPr>
          <w:sz w:val="24"/>
          <w:lang w:val="lv-LV"/>
        </w:rPr>
        <w:t>Pretendents neatbilst Nolikuma 4.1.11. apakšpunktā min</w:t>
      </w:r>
      <w:r w:rsidR="0035575B" w:rsidRPr="00FF7E7C">
        <w:rPr>
          <w:sz w:val="24"/>
          <w:lang w:val="lv-LV"/>
        </w:rPr>
        <w:t>ētajam</w:t>
      </w:r>
      <w:r w:rsidRPr="00FF7E7C">
        <w:rPr>
          <w:sz w:val="24"/>
          <w:lang w:val="lv-LV"/>
        </w:rPr>
        <w:t xml:space="preserve"> </w:t>
      </w:r>
      <w:r w:rsidR="0035575B" w:rsidRPr="00FF7E7C">
        <w:rPr>
          <w:sz w:val="24"/>
          <w:lang w:val="lv-LV"/>
        </w:rPr>
        <w:t>kritērijam,</w:t>
      </w:r>
      <w:r w:rsidR="005832F1">
        <w:rPr>
          <w:sz w:val="24"/>
          <w:lang w:val="lv-LV"/>
        </w:rPr>
        <w:t xml:space="preserve"> līdz ar</w:t>
      </w:r>
      <w:r w:rsidR="005832F1">
        <w:rPr>
          <w:sz w:val="24"/>
          <w:lang w:val="lv-LV"/>
        </w:rPr>
        <w:br/>
      </w:r>
      <w:r w:rsidRPr="00FF7E7C">
        <w:rPr>
          <w:sz w:val="24"/>
          <w:lang w:val="lv-LV"/>
        </w:rPr>
        <w:t>SIA "</w:t>
      </w:r>
      <w:r w:rsidR="004309C3" w:rsidRPr="001D63A9">
        <w:rPr>
          <w:sz w:val="24"/>
        </w:rPr>
        <w:t>HEKTORS</w:t>
      </w:r>
      <w:r w:rsidRPr="00FF7E7C">
        <w:rPr>
          <w:sz w:val="24"/>
          <w:lang w:val="lv-LV"/>
        </w:rPr>
        <w:t xml:space="preserve">" ir jāiesniedz 4.1.10. apakšpunktā minētais apliecinājums par tā vidējo gada apgrozījumu 3 (trīs) iepriekšējo finanšu gadu (2014., 2015., 2016. gadu) un 2017. gada (līdz piedāvājuma iesniegšanas brīdim) laikā. Pretendenta vidējam gada apgrozījumam norādītajā laikā jābūt divreiz lielākam par piedāvātas kopējas līgumcenas. </w:t>
      </w:r>
    </w:p>
    <w:p w:rsidR="00A5356F" w:rsidRDefault="00A5356F">
      <w:pPr>
        <w:spacing w:after="160" w:line="259" w:lineRule="auto"/>
        <w:rPr>
          <w:rFonts w:ascii="Times New Roman" w:eastAsia="Times New Roman" w:hAnsi="Times New Roman"/>
          <w:sz w:val="24"/>
          <w:szCs w:val="24"/>
          <w:lang w:val="x-none" w:eastAsia="x-none"/>
        </w:rPr>
      </w:pPr>
      <w:r>
        <w:rPr>
          <w:sz w:val="24"/>
        </w:rPr>
        <w:br w:type="page"/>
      </w:r>
    </w:p>
    <w:p w:rsidR="00742F2D" w:rsidRDefault="008173BD" w:rsidP="001D63A9">
      <w:pPr>
        <w:pStyle w:val="BodyTextIndent2"/>
        <w:spacing w:before="120" w:after="120"/>
        <w:ind w:right="-1" w:firstLine="567"/>
        <w:rPr>
          <w:sz w:val="24"/>
        </w:rPr>
      </w:pPr>
      <w:r w:rsidRPr="00710932">
        <w:rPr>
          <w:sz w:val="24"/>
        </w:rPr>
        <w:t>J.</w:t>
      </w:r>
      <w:r w:rsidRPr="00710932">
        <w:rPr>
          <w:sz w:val="24"/>
          <w:lang w:val="lv-LV"/>
        </w:rPr>
        <w:t xml:space="preserve"> Baranov</w:t>
      </w:r>
      <w:r w:rsidR="00742F2D" w:rsidRPr="00710932">
        <w:rPr>
          <w:sz w:val="24"/>
        </w:rPr>
        <w:t xml:space="preserve">a </w:t>
      </w:r>
      <w:r w:rsidR="001D63A9">
        <w:rPr>
          <w:sz w:val="24"/>
        </w:rPr>
        <w:t xml:space="preserve">nosauc pretendenta </w:t>
      </w:r>
      <w:r w:rsidR="001D63A9" w:rsidRPr="001D63A9">
        <w:rPr>
          <w:sz w:val="24"/>
        </w:rPr>
        <w:t>SIA "HEKTORS", reģistrācijas Nr. 54030016</w:t>
      </w:r>
      <w:r w:rsidR="001D63A9">
        <w:rPr>
          <w:sz w:val="24"/>
          <w:lang w:val="lv-LV"/>
        </w:rPr>
        <w:t xml:space="preserve"> </w:t>
      </w:r>
      <w:r w:rsidR="00742F2D" w:rsidRPr="00710932">
        <w:rPr>
          <w:sz w:val="24"/>
        </w:rPr>
        <w:t>finanšu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305"/>
        <w:gridCol w:w="2164"/>
      </w:tblGrid>
      <w:tr w:rsidR="001D63A9" w:rsidRPr="001D63A9" w:rsidTr="003B7DDC">
        <w:tc>
          <w:tcPr>
            <w:tcW w:w="2534" w:type="pct"/>
            <w:shd w:val="clear" w:color="auto" w:fill="auto"/>
          </w:tcPr>
          <w:p w:rsidR="001D63A9" w:rsidRPr="001D63A9" w:rsidRDefault="001D63A9" w:rsidP="001D63A9">
            <w:pPr>
              <w:spacing w:after="0" w:line="240" w:lineRule="auto"/>
              <w:ind w:right="-2"/>
              <w:jc w:val="center"/>
              <w:rPr>
                <w:rFonts w:ascii="Times New Roman" w:eastAsia="Times New Roman" w:hAnsi="Times New Roman"/>
                <w:b/>
                <w:sz w:val="24"/>
                <w:szCs w:val="24"/>
              </w:rPr>
            </w:pPr>
          </w:p>
          <w:p w:rsidR="001D63A9" w:rsidRPr="001D63A9" w:rsidRDefault="001D63A9" w:rsidP="001D63A9">
            <w:pPr>
              <w:spacing w:after="0" w:line="240" w:lineRule="auto"/>
              <w:ind w:right="-2"/>
              <w:jc w:val="center"/>
              <w:rPr>
                <w:rFonts w:ascii="Times New Roman" w:eastAsia="Times New Roman" w:hAnsi="Times New Roman"/>
                <w:b/>
                <w:sz w:val="24"/>
                <w:szCs w:val="24"/>
              </w:rPr>
            </w:pPr>
            <w:r w:rsidRPr="001D63A9">
              <w:rPr>
                <w:rFonts w:ascii="Times New Roman" w:eastAsia="Times New Roman" w:hAnsi="Times New Roman"/>
                <w:b/>
                <w:sz w:val="24"/>
                <w:szCs w:val="24"/>
              </w:rPr>
              <w:t>Iepirkuma priekšmets</w:t>
            </w:r>
          </w:p>
        </w:tc>
        <w:tc>
          <w:tcPr>
            <w:tcW w:w="1272" w:type="pct"/>
            <w:shd w:val="clear" w:color="auto" w:fill="auto"/>
          </w:tcPr>
          <w:p w:rsidR="001D63A9" w:rsidRPr="001D63A9" w:rsidRDefault="001D63A9" w:rsidP="001D63A9">
            <w:pPr>
              <w:spacing w:after="0" w:line="240" w:lineRule="auto"/>
              <w:ind w:right="-2"/>
              <w:jc w:val="center"/>
              <w:rPr>
                <w:rFonts w:ascii="Times New Roman" w:eastAsia="Times New Roman" w:hAnsi="Times New Roman"/>
                <w:b/>
                <w:sz w:val="24"/>
                <w:szCs w:val="24"/>
              </w:rPr>
            </w:pPr>
            <w:r w:rsidRPr="001D63A9">
              <w:rPr>
                <w:rFonts w:ascii="Times New Roman" w:eastAsia="Times New Roman" w:hAnsi="Times New Roman"/>
                <w:b/>
                <w:sz w:val="24"/>
                <w:szCs w:val="24"/>
              </w:rPr>
              <w:t>Līgumcena*, EUR (bez PVN) (piedāvājuma izvēles kritērijs)</w:t>
            </w:r>
          </w:p>
        </w:tc>
        <w:tc>
          <w:tcPr>
            <w:tcW w:w="1194" w:type="pct"/>
            <w:shd w:val="clear" w:color="auto" w:fill="auto"/>
            <w:vAlign w:val="center"/>
          </w:tcPr>
          <w:p w:rsidR="001D63A9" w:rsidRPr="001D63A9" w:rsidRDefault="001D63A9" w:rsidP="001D63A9">
            <w:pPr>
              <w:spacing w:after="0" w:line="240" w:lineRule="auto"/>
              <w:ind w:right="-2"/>
              <w:jc w:val="center"/>
              <w:rPr>
                <w:rFonts w:ascii="Times New Roman" w:eastAsia="Times New Roman" w:hAnsi="Times New Roman"/>
                <w:b/>
                <w:sz w:val="24"/>
                <w:szCs w:val="24"/>
              </w:rPr>
            </w:pPr>
            <w:r w:rsidRPr="001D63A9">
              <w:rPr>
                <w:rFonts w:ascii="Times New Roman" w:eastAsia="Times New Roman" w:hAnsi="Times New Roman"/>
                <w:b/>
                <w:sz w:val="24"/>
                <w:szCs w:val="24"/>
              </w:rPr>
              <w:t>Cena, EUR (ar PVN) (informācijai)</w:t>
            </w:r>
          </w:p>
        </w:tc>
      </w:tr>
      <w:tr w:rsidR="001D63A9" w:rsidRPr="001D63A9" w:rsidTr="003B7DDC">
        <w:trPr>
          <w:trHeight w:val="562"/>
        </w:trPr>
        <w:tc>
          <w:tcPr>
            <w:tcW w:w="2534" w:type="pct"/>
            <w:shd w:val="clear" w:color="auto" w:fill="auto"/>
            <w:vAlign w:val="center"/>
          </w:tcPr>
          <w:p w:rsidR="001D63A9" w:rsidRPr="001D63A9" w:rsidRDefault="001D63A9" w:rsidP="001D63A9">
            <w:pPr>
              <w:spacing w:after="120" w:line="240" w:lineRule="auto"/>
              <w:jc w:val="center"/>
              <w:rPr>
                <w:rFonts w:ascii="Times New Roman" w:eastAsia="Times New Roman" w:hAnsi="Times New Roman"/>
                <w:sz w:val="24"/>
                <w:szCs w:val="24"/>
              </w:rPr>
            </w:pPr>
            <w:r w:rsidRPr="001D63A9">
              <w:rPr>
                <w:rFonts w:ascii="Times New Roman" w:eastAsia="Times New Roman" w:hAnsi="Times New Roman"/>
                <w:sz w:val="24"/>
                <w:szCs w:val="24"/>
              </w:rPr>
              <w:t>Jēkabpils cietuma esošās fekālās kanalizācijas remonts</w:t>
            </w:r>
          </w:p>
        </w:tc>
        <w:tc>
          <w:tcPr>
            <w:tcW w:w="1272" w:type="pct"/>
            <w:shd w:val="clear" w:color="auto" w:fill="auto"/>
            <w:vAlign w:val="center"/>
          </w:tcPr>
          <w:p w:rsidR="001D63A9" w:rsidRPr="001D63A9" w:rsidRDefault="001D63A9" w:rsidP="001D63A9">
            <w:pPr>
              <w:spacing w:after="0" w:line="240" w:lineRule="auto"/>
              <w:ind w:right="-2"/>
              <w:jc w:val="center"/>
              <w:rPr>
                <w:rFonts w:ascii="Times New Roman" w:eastAsia="Times New Roman" w:hAnsi="Times New Roman"/>
                <w:sz w:val="24"/>
                <w:szCs w:val="24"/>
              </w:rPr>
            </w:pPr>
            <w:r w:rsidRPr="001D63A9">
              <w:rPr>
                <w:rFonts w:ascii="Times New Roman" w:eastAsia="Times New Roman" w:hAnsi="Times New Roman"/>
                <w:sz w:val="24"/>
                <w:szCs w:val="24"/>
              </w:rPr>
              <w:t>44790,50</w:t>
            </w:r>
          </w:p>
        </w:tc>
        <w:tc>
          <w:tcPr>
            <w:tcW w:w="1194" w:type="pct"/>
            <w:shd w:val="clear" w:color="auto" w:fill="auto"/>
            <w:vAlign w:val="center"/>
          </w:tcPr>
          <w:p w:rsidR="001D63A9" w:rsidRPr="001D63A9" w:rsidRDefault="001D63A9" w:rsidP="001D63A9">
            <w:pPr>
              <w:spacing w:after="0" w:line="240" w:lineRule="auto"/>
              <w:ind w:right="-2"/>
              <w:jc w:val="center"/>
              <w:rPr>
                <w:rFonts w:ascii="Times New Roman" w:eastAsia="Times New Roman" w:hAnsi="Times New Roman"/>
                <w:sz w:val="24"/>
                <w:szCs w:val="24"/>
              </w:rPr>
            </w:pPr>
            <w:r w:rsidRPr="001D63A9">
              <w:rPr>
                <w:rFonts w:ascii="Times New Roman" w:eastAsia="Times New Roman" w:hAnsi="Times New Roman"/>
                <w:sz w:val="24"/>
                <w:szCs w:val="24"/>
              </w:rPr>
              <w:t>54196,51</w:t>
            </w:r>
          </w:p>
        </w:tc>
      </w:tr>
    </w:tbl>
    <w:p w:rsidR="00FF7E7C" w:rsidRPr="00FF7E7C" w:rsidRDefault="00FF7E7C" w:rsidP="0078411C">
      <w:pPr>
        <w:pStyle w:val="BodyTextIndent2"/>
        <w:spacing w:before="120" w:after="120"/>
        <w:ind w:right="-1"/>
        <w:rPr>
          <w:sz w:val="24"/>
        </w:rPr>
      </w:pPr>
      <w:r w:rsidRPr="00FF7E7C">
        <w:rPr>
          <w:sz w:val="24"/>
        </w:rPr>
        <w:t xml:space="preserve">M. Vekmanis informē par Nolikumā noteiktajiem Tehniskās specifikācijas nosacījumiem un ziņo, ka pretendenta iesniegtais tehniskais piedāvājums atbilst Nolikuma Tehniskās specifikācijas prasībām. </w:t>
      </w:r>
      <w:r w:rsidR="0020525C">
        <w:rPr>
          <w:sz w:val="24"/>
        </w:rPr>
        <w:t>SIA "HEKTORS",</w:t>
      </w:r>
      <w:r w:rsidR="0020525C">
        <w:rPr>
          <w:sz w:val="24"/>
          <w:lang w:val="lv-LV"/>
        </w:rPr>
        <w:t xml:space="preserve"> </w:t>
      </w:r>
      <w:r w:rsidR="0020525C" w:rsidRPr="0020525C">
        <w:rPr>
          <w:sz w:val="24"/>
        </w:rPr>
        <w:t>reģistrācijas Nr. 5403001668</w:t>
      </w:r>
      <w:r w:rsidR="0020525C">
        <w:rPr>
          <w:sz w:val="24"/>
          <w:lang w:val="lv-LV"/>
        </w:rPr>
        <w:t xml:space="preserve"> </w:t>
      </w:r>
      <w:r w:rsidRPr="00FF7E7C">
        <w:rPr>
          <w:sz w:val="24"/>
        </w:rPr>
        <w:t>iesniegtais piedāvājums ir vienīgais un atbilst visām Nolikuma prasībām.</w:t>
      </w:r>
    </w:p>
    <w:p w:rsidR="00FF7E7C" w:rsidRPr="00FF7E7C" w:rsidRDefault="00FF7E7C" w:rsidP="0078411C">
      <w:pPr>
        <w:pStyle w:val="BodyTextIndent2"/>
        <w:spacing w:before="120" w:after="120"/>
        <w:ind w:right="-1"/>
        <w:rPr>
          <w:sz w:val="24"/>
        </w:rPr>
      </w:pPr>
      <w:r w:rsidRPr="00FF7E7C">
        <w:rPr>
          <w:sz w:val="24"/>
        </w:rPr>
        <w:t>Pamatojoties uz 2017. gada 28. februāra Ministru kabineta noteikumiem Nr. 107 "Iepirkuma procedūru un metu konkursu norises kārtība", kas paredz: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FF7E7C" w:rsidRPr="00FF7E7C" w:rsidRDefault="0020525C" w:rsidP="0078411C">
      <w:pPr>
        <w:pStyle w:val="BodyTextIndent2"/>
        <w:spacing w:before="120" w:after="120"/>
        <w:ind w:right="-1"/>
        <w:rPr>
          <w:sz w:val="24"/>
        </w:rPr>
      </w:pPr>
      <w:r>
        <w:rPr>
          <w:sz w:val="24"/>
          <w:lang w:val="lv-LV"/>
        </w:rPr>
        <w:t xml:space="preserve">Iepirkumu komisija norāda, ka </w:t>
      </w:r>
      <w:r w:rsidR="00FF7E7C" w:rsidRPr="00FF7E7C">
        <w:rPr>
          <w:sz w:val="24"/>
        </w:rPr>
        <w:t xml:space="preserve">Latvijā ir vairāki uzņēmumi, kas </w:t>
      </w:r>
      <w:r w:rsidR="00A5356F">
        <w:rPr>
          <w:sz w:val="24"/>
          <w:lang w:val="lv-LV"/>
        </w:rPr>
        <w:t xml:space="preserve">praktizē </w:t>
      </w:r>
      <w:r w:rsidR="00CC1340">
        <w:rPr>
          <w:sz w:val="24"/>
          <w:lang w:val="lv-LV"/>
        </w:rPr>
        <w:t>ū</w:t>
      </w:r>
      <w:r w:rsidR="00CC1340" w:rsidRPr="00CC1340">
        <w:rPr>
          <w:sz w:val="24"/>
        </w:rPr>
        <w:t>densapgādes un kanalizācijas sistēmu</w:t>
      </w:r>
      <w:r w:rsidR="00CC1340">
        <w:rPr>
          <w:sz w:val="24"/>
          <w:lang w:val="lv-LV"/>
        </w:rPr>
        <w:t xml:space="preserve"> </w:t>
      </w:r>
      <w:r w:rsidR="00CC1340">
        <w:rPr>
          <w:sz w:val="24"/>
        </w:rPr>
        <w:t>būvdarbu vadīšanu</w:t>
      </w:r>
      <w:r>
        <w:rPr>
          <w:sz w:val="24"/>
        </w:rPr>
        <w:t xml:space="preserve">, </w:t>
      </w:r>
      <w:r w:rsidR="00FF7E7C" w:rsidRPr="00FF7E7C">
        <w:rPr>
          <w:sz w:val="24"/>
        </w:rPr>
        <w:t xml:space="preserve">vienlaikus nodrošinot pakalpojuma sniegšanu klientam (juridiskām klientam): piemēram, </w:t>
      </w:r>
      <w:r w:rsidR="00CC1340">
        <w:rPr>
          <w:sz w:val="24"/>
          <w:lang w:val="lv-LV"/>
        </w:rPr>
        <w:t xml:space="preserve">SIA </w:t>
      </w:r>
      <w:r w:rsidR="00CC1340">
        <w:rPr>
          <w:sz w:val="24"/>
        </w:rPr>
        <w:t>"AKBALT"</w:t>
      </w:r>
      <w:r w:rsidR="00CC1340">
        <w:rPr>
          <w:sz w:val="24"/>
          <w:lang w:val="lv-LV"/>
        </w:rPr>
        <w:t xml:space="preserve">, </w:t>
      </w:r>
      <w:r w:rsidR="00CC1340">
        <w:rPr>
          <w:sz w:val="24"/>
        </w:rPr>
        <w:t xml:space="preserve"> </w:t>
      </w:r>
      <w:r w:rsidR="00CC1340">
        <w:rPr>
          <w:sz w:val="24"/>
          <w:lang w:val="lv-LV"/>
        </w:rPr>
        <w:t>AS "</w:t>
      </w:r>
      <w:r w:rsidR="00CC1340">
        <w:rPr>
          <w:sz w:val="24"/>
        </w:rPr>
        <w:t>BAO</w:t>
      </w:r>
      <w:r w:rsidR="00CC1340">
        <w:rPr>
          <w:sz w:val="24"/>
          <w:lang w:val="lv-LV"/>
        </w:rPr>
        <w:t xml:space="preserve">", </w:t>
      </w:r>
      <w:r w:rsidR="00CC1340">
        <w:rPr>
          <w:sz w:val="24"/>
        </w:rPr>
        <w:t xml:space="preserve"> </w:t>
      </w:r>
      <w:r w:rsidR="00CC1340">
        <w:rPr>
          <w:sz w:val="24"/>
          <w:lang w:val="lv-LV"/>
        </w:rPr>
        <w:t>AS</w:t>
      </w:r>
      <w:r w:rsidR="00A5356F">
        <w:rPr>
          <w:sz w:val="24"/>
          <w:lang w:val="lv-LV"/>
        </w:rPr>
        <w:t xml:space="preserve"> </w:t>
      </w:r>
      <w:r w:rsidR="00CC1340">
        <w:rPr>
          <w:sz w:val="24"/>
        </w:rPr>
        <w:t>"BMGS"</w:t>
      </w:r>
      <w:r w:rsidR="00A53163">
        <w:rPr>
          <w:sz w:val="24"/>
          <w:lang w:val="lv-LV"/>
        </w:rPr>
        <w:t>,</w:t>
      </w:r>
      <w:r w:rsidR="00A53163">
        <w:rPr>
          <w:sz w:val="24"/>
          <w:lang w:val="lv-LV"/>
        </w:rPr>
        <w:br/>
        <w:t xml:space="preserve">AS </w:t>
      </w:r>
      <w:r w:rsidR="00CC1340" w:rsidRPr="00CC1340">
        <w:rPr>
          <w:sz w:val="24"/>
        </w:rPr>
        <w:t>"BŪVUZŅĒMUMS RESTAURATORS"</w:t>
      </w:r>
      <w:r w:rsidR="00CC1340">
        <w:rPr>
          <w:sz w:val="24"/>
          <w:lang w:val="lv-LV"/>
        </w:rPr>
        <w:t xml:space="preserve"> </w:t>
      </w:r>
      <w:r w:rsidR="00FF7E7C" w:rsidRPr="00FF7E7C">
        <w:rPr>
          <w:sz w:val="24"/>
        </w:rPr>
        <w:t>un citi. Turkl</w:t>
      </w:r>
      <w:r w:rsidR="0078411C">
        <w:rPr>
          <w:sz w:val="24"/>
        </w:rPr>
        <w:t xml:space="preserve">āt, Iepirkumu komisija, nolemj </w:t>
      </w:r>
      <w:r w:rsidR="00FF7E7C" w:rsidRPr="00FF7E7C">
        <w:rPr>
          <w:sz w:val="24"/>
        </w:rPr>
        <w:t>pārbaudīt komersantus būvniecības informācijas sistēmas tīmekļa vietnē</w:t>
      </w:r>
      <w:r w:rsidR="0078411C">
        <w:rPr>
          <w:sz w:val="24"/>
        </w:rPr>
        <w:t xml:space="preserve">  </w:t>
      </w:r>
      <w:hyperlink r:id="rId8" w:history="1">
        <w:r w:rsidR="00CC1340" w:rsidRPr="00175866">
          <w:rPr>
            <w:rStyle w:val="Hyperlink"/>
            <w:sz w:val="24"/>
          </w:rPr>
          <w:t>https://bis.gov.lv/bisp/lv/construction_companies</w:t>
        </w:r>
      </w:hyperlink>
      <w:r w:rsidR="00FF7E7C" w:rsidRPr="00FF7E7C">
        <w:rPr>
          <w:sz w:val="24"/>
        </w:rPr>
        <w:t>, lai gūtu pārliecību, ka Iepirkuma kvalifikāciju prasības ir samērīgas.</w:t>
      </w:r>
    </w:p>
    <w:p w:rsidR="00FF7E7C" w:rsidRPr="00FF7E7C" w:rsidRDefault="00FF7E7C" w:rsidP="0078411C">
      <w:pPr>
        <w:pStyle w:val="BodyTextIndent2"/>
        <w:spacing w:before="120" w:after="120"/>
        <w:ind w:right="-1"/>
        <w:rPr>
          <w:sz w:val="24"/>
        </w:rPr>
      </w:pPr>
      <w:r w:rsidRPr="00FF7E7C">
        <w:rPr>
          <w:sz w:val="24"/>
        </w:rPr>
        <w:t>Tādējādi Pasūtītājs konstatē, ka konkrētajā tirgū ir daudz citu uzņēmumu (firmas), kas nodarbojas ar kanalizācijas tīklu</w:t>
      </w:r>
      <w:r w:rsidR="00A53163">
        <w:rPr>
          <w:sz w:val="24"/>
          <w:lang w:val="lv-LV"/>
        </w:rPr>
        <w:t xml:space="preserve"> remontu</w:t>
      </w:r>
      <w:r w:rsidRPr="00FF7E7C">
        <w:rPr>
          <w:sz w:val="24"/>
        </w:rPr>
        <w:t xml:space="preserve"> un varētu atbilst iepirkumā noteiktajām pretendentu atlases prasībām, kuri nav pieteikušies ar atlases prasībām nesaistītu iemeslu dēļ.</w:t>
      </w:r>
    </w:p>
    <w:p w:rsidR="00FF7E7C" w:rsidRPr="00FF7E7C" w:rsidRDefault="00FF7E7C" w:rsidP="0078411C">
      <w:pPr>
        <w:pStyle w:val="BodyTextIndent2"/>
        <w:spacing w:before="120" w:after="120"/>
        <w:ind w:right="-1"/>
        <w:rPr>
          <w:sz w:val="24"/>
        </w:rPr>
      </w:pPr>
      <w:r w:rsidRPr="00FF7E7C">
        <w:rPr>
          <w:sz w:val="24"/>
        </w:rPr>
        <w:t>Saskaņā ar Iepirkuma uzraudzības biroja skaidrojumu, pasūtītājs var nepārtraukt iepirkumu gadījumā, ja pretendentu atlases prasības ir objektīvas un samērīgas.</w:t>
      </w:r>
    </w:p>
    <w:p w:rsidR="00FF7E7C" w:rsidRPr="00FF7E7C" w:rsidRDefault="00FF7E7C" w:rsidP="0078411C">
      <w:pPr>
        <w:pStyle w:val="BodyTextIndent2"/>
        <w:spacing w:before="120" w:after="120"/>
        <w:ind w:right="-1"/>
        <w:rPr>
          <w:sz w:val="24"/>
        </w:rPr>
      </w:pPr>
      <w:r w:rsidRPr="00FF7E7C">
        <w:rPr>
          <w:sz w:val="24"/>
        </w:rPr>
        <w:t>Ņemot vērā, ka piedāvājuma izvēles kritērijs ir – viszemākā kopējā līgumcena (bez pievienotās vērtības nodokļa (turpmāk – PVN), kas atbilst Nolikumā minētajām prasībām un Nolikuma tehniskajai specifikācijai, līguma slēgšanas tiesības būtu piešķiramas:</w:t>
      </w:r>
    </w:p>
    <w:p w:rsidR="00FF7E7C" w:rsidRPr="00A53163" w:rsidRDefault="00A53163" w:rsidP="0078411C">
      <w:pPr>
        <w:pStyle w:val="BodyTextIndent2"/>
        <w:spacing w:before="120" w:after="120"/>
        <w:ind w:right="-1"/>
        <w:rPr>
          <w:sz w:val="24"/>
          <w:lang w:val="lv-LV"/>
        </w:rPr>
      </w:pPr>
      <w:r>
        <w:rPr>
          <w:sz w:val="24"/>
        </w:rPr>
        <w:t xml:space="preserve">SIA "HEKTORS", reģistrācijas Nr. 5403001668, </w:t>
      </w:r>
      <w:r w:rsidRPr="00A53163">
        <w:rPr>
          <w:sz w:val="24"/>
        </w:rPr>
        <w:t>Brīvības iela 3B, Jēkabpils, LV-5201</w:t>
      </w:r>
      <w:r>
        <w:rPr>
          <w:sz w:val="24"/>
          <w:lang w:val="lv-LV"/>
        </w:rPr>
        <w:t>.</w:t>
      </w:r>
    </w:p>
    <w:p w:rsidR="00FF7E7C" w:rsidRPr="00FF7E7C" w:rsidRDefault="00FF7E7C" w:rsidP="0078411C">
      <w:pPr>
        <w:pStyle w:val="BodyTextIndent2"/>
        <w:spacing w:before="120" w:after="120"/>
        <w:ind w:right="-1"/>
        <w:rPr>
          <w:sz w:val="24"/>
        </w:rPr>
      </w:pPr>
      <w:r w:rsidRPr="00FF7E7C">
        <w:rPr>
          <w:sz w:val="24"/>
        </w:rPr>
        <w:t>Atbilstoši Publisko iepirkumu likuma (turpmāk – Likums) 9. panta trīspadsmitās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9. panta astoto daļu.</w:t>
      </w:r>
    </w:p>
    <w:p w:rsidR="00FF7E7C" w:rsidRPr="00FF7E7C" w:rsidRDefault="00FF7E7C" w:rsidP="0078411C">
      <w:pPr>
        <w:pStyle w:val="BodyTextIndent2"/>
        <w:spacing w:before="120" w:after="120"/>
        <w:ind w:right="-1"/>
        <w:rPr>
          <w:sz w:val="24"/>
        </w:rPr>
      </w:pPr>
      <w:r w:rsidRPr="00FF7E7C">
        <w:rPr>
          <w:sz w:val="24"/>
        </w:rPr>
        <w:t>Atbilstoši Likuma 9. panta devītās daļas nosacījumiem pasūtītājs, izmantojot Ministru kabineta noteikto informācijas sistēmu – pārbauda un saņem informāciju par pretendentu.</w:t>
      </w:r>
    </w:p>
    <w:p w:rsidR="00FF7E7C" w:rsidRPr="00FF7E7C" w:rsidRDefault="00FF7E7C" w:rsidP="0078411C">
      <w:pPr>
        <w:pStyle w:val="BodyTextIndent2"/>
        <w:spacing w:before="120" w:after="120"/>
        <w:ind w:right="-1"/>
        <w:rPr>
          <w:sz w:val="24"/>
        </w:rPr>
      </w:pPr>
      <w:r w:rsidRPr="00FF7E7C">
        <w:rPr>
          <w:sz w:val="24"/>
        </w:rPr>
        <w:t xml:space="preserve">Saskaņā ar E-izziņu sistēmas datubāzes saņemto informāciju pretendentam </w:t>
      </w:r>
      <w:r w:rsidR="00A53163">
        <w:rPr>
          <w:sz w:val="24"/>
        </w:rPr>
        <w:t>SIA "HEKTORS",</w:t>
      </w:r>
      <w:r w:rsidR="00A53163">
        <w:rPr>
          <w:sz w:val="24"/>
          <w:lang w:val="lv-LV"/>
        </w:rPr>
        <w:t xml:space="preserve"> </w:t>
      </w:r>
      <w:r w:rsidR="00A53163">
        <w:rPr>
          <w:sz w:val="24"/>
        </w:rPr>
        <w:t>reģistrācijas Nr. 5403001668</w:t>
      </w:r>
      <w:r w:rsidRPr="00FF7E7C">
        <w:rPr>
          <w:sz w:val="24"/>
        </w:rPr>
        <w:t>:</w:t>
      </w:r>
    </w:p>
    <w:p w:rsidR="00FF7E7C" w:rsidRPr="00FF7E7C" w:rsidRDefault="00FF7E7C" w:rsidP="0078411C">
      <w:pPr>
        <w:pStyle w:val="BodyTextIndent2"/>
        <w:spacing w:before="120" w:after="120"/>
        <w:ind w:right="-1"/>
        <w:rPr>
          <w:sz w:val="24"/>
        </w:rPr>
      </w:pPr>
      <w:r w:rsidRPr="00FF7E7C">
        <w:rPr>
          <w:sz w:val="24"/>
        </w:rPr>
        <w:t>– Iepirkuma piedāvājuma iesniegšanas termiņa pēdējā dienā (t.i. 2017.gada 4.</w:t>
      </w:r>
      <w:r w:rsidR="004309C3">
        <w:rPr>
          <w:sz w:val="24"/>
          <w:lang w:val="lv-LV"/>
        </w:rPr>
        <w:t> </w:t>
      </w:r>
      <w:r w:rsidRPr="00FF7E7C">
        <w:rPr>
          <w:sz w:val="24"/>
        </w:rPr>
        <w:t>septembrī) nav nodokļu (nodevu) parādi, tajā skaitā valsts sociālās apdrošināšanas obligāto iemaksu parādi, kas kopsummā pārsniedz 150 euro;</w:t>
      </w:r>
    </w:p>
    <w:p w:rsidR="00FF7E7C" w:rsidRPr="00FF7E7C" w:rsidRDefault="00FF7E7C" w:rsidP="0078411C">
      <w:pPr>
        <w:pStyle w:val="BodyTextIndent2"/>
        <w:spacing w:before="120" w:after="120"/>
        <w:ind w:right="-1"/>
        <w:rPr>
          <w:sz w:val="24"/>
        </w:rPr>
      </w:pPr>
      <w:r w:rsidRPr="00FF7E7C">
        <w:rPr>
          <w:sz w:val="24"/>
        </w:rPr>
        <w:t>– lēmuma par iespējamu iepirkuma līguma slēgšanas tiesību piešķiršanu pieņemšanas dienā nav nodokļu (nodevu) parādi, tajā skaitā valsts sociālās apdrošināšanas obligāto iemaksu parādi, kas kopsummā pārsniedz 150 euro;</w:t>
      </w:r>
    </w:p>
    <w:p w:rsidR="00FF7E7C" w:rsidRPr="00FF7E7C" w:rsidRDefault="00FF7E7C" w:rsidP="0078411C">
      <w:pPr>
        <w:pStyle w:val="BodyTextIndent2"/>
        <w:spacing w:before="120" w:after="120"/>
        <w:ind w:right="-1"/>
        <w:rPr>
          <w:sz w:val="24"/>
        </w:rPr>
      </w:pPr>
      <w:r w:rsidRPr="00FF7E7C">
        <w:rPr>
          <w:sz w:val="24"/>
        </w:rPr>
        <w:t>–  nav pārkāpumu un noziedzīgo nodarījumu;</w:t>
      </w:r>
    </w:p>
    <w:p w:rsidR="00FF7E7C" w:rsidRPr="00FF7E7C" w:rsidRDefault="00FF7E7C" w:rsidP="0078411C">
      <w:pPr>
        <w:pStyle w:val="BodyTextIndent2"/>
        <w:spacing w:before="120" w:after="120"/>
        <w:ind w:right="-1"/>
        <w:rPr>
          <w:sz w:val="24"/>
        </w:rPr>
      </w:pPr>
      <w:r w:rsidRPr="00FF7E7C">
        <w:rPr>
          <w:sz w:val="24"/>
        </w:rPr>
        <w:t>– nav pasludināts maksātnespējas process, nav apturēta saimnieciskā darbība, nav likvidācijas.</w:t>
      </w:r>
    </w:p>
    <w:p w:rsidR="0020525C" w:rsidRDefault="0020525C" w:rsidP="0078411C">
      <w:pPr>
        <w:pStyle w:val="BodyTextIndent2"/>
        <w:spacing w:before="120" w:after="120"/>
        <w:ind w:right="-1"/>
        <w:rPr>
          <w:sz w:val="24"/>
        </w:rPr>
      </w:pPr>
    </w:p>
    <w:p w:rsidR="00FF7E7C" w:rsidRPr="00A53163" w:rsidRDefault="00FF7E7C" w:rsidP="0078411C">
      <w:pPr>
        <w:pStyle w:val="BodyTextIndent2"/>
        <w:spacing w:before="120" w:after="120"/>
        <w:ind w:right="-1"/>
        <w:rPr>
          <w:b/>
          <w:sz w:val="24"/>
          <w:u w:val="single"/>
        </w:rPr>
      </w:pPr>
      <w:r w:rsidRPr="00A53163">
        <w:rPr>
          <w:b/>
          <w:sz w:val="24"/>
          <w:u w:val="single"/>
        </w:rPr>
        <w:t>Iepirkumu komisijas lēmums:</w:t>
      </w:r>
    </w:p>
    <w:p w:rsidR="00A53163" w:rsidRDefault="00FF7E7C" w:rsidP="0078411C">
      <w:pPr>
        <w:pStyle w:val="BodyTextIndent2"/>
        <w:numPr>
          <w:ilvl w:val="0"/>
          <w:numId w:val="5"/>
        </w:numPr>
        <w:spacing w:before="120" w:after="120"/>
        <w:ind w:right="-1"/>
        <w:rPr>
          <w:sz w:val="24"/>
          <w:lang w:val="lv-LV"/>
        </w:rPr>
      </w:pPr>
      <w:r w:rsidRPr="00FF7E7C">
        <w:rPr>
          <w:sz w:val="24"/>
        </w:rPr>
        <w:t xml:space="preserve">Par Pārvaldes rīkotā Iepirkuma uzvarētāju atzīt un līguma slēgšanas tiesības piešķirt </w:t>
      </w:r>
      <w:r w:rsidR="00A53163">
        <w:rPr>
          <w:sz w:val="24"/>
        </w:rPr>
        <w:t>SIA "HEKTORS",</w:t>
      </w:r>
      <w:r w:rsidR="00A53163">
        <w:rPr>
          <w:sz w:val="24"/>
          <w:lang w:val="lv-LV"/>
        </w:rPr>
        <w:t xml:space="preserve"> </w:t>
      </w:r>
      <w:r w:rsidR="00A53163">
        <w:rPr>
          <w:sz w:val="24"/>
        </w:rPr>
        <w:t xml:space="preserve">reģistrācijas Nr. 5403001668, adrese: </w:t>
      </w:r>
      <w:r w:rsidR="00A53163" w:rsidRPr="00A53163">
        <w:rPr>
          <w:sz w:val="24"/>
        </w:rPr>
        <w:t>Brīvības iela 3B, Jēkabpils, LV-5201</w:t>
      </w:r>
      <w:r w:rsidR="00A53163">
        <w:rPr>
          <w:sz w:val="24"/>
          <w:lang w:val="lv-LV"/>
        </w:rPr>
        <w:t>.</w:t>
      </w:r>
    </w:p>
    <w:p w:rsidR="00A53163" w:rsidRDefault="00FF7E7C" w:rsidP="0078411C">
      <w:pPr>
        <w:pStyle w:val="BodyTextIndent2"/>
        <w:numPr>
          <w:ilvl w:val="0"/>
          <w:numId w:val="5"/>
        </w:numPr>
        <w:spacing w:before="120" w:after="120"/>
        <w:ind w:right="-1"/>
        <w:rPr>
          <w:sz w:val="24"/>
          <w:lang w:val="lv-LV"/>
        </w:rPr>
      </w:pPr>
      <w:r w:rsidRPr="00FF7E7C">
        <w:rPr>
          <w:sz w:val="24"/>
        </w:rPr>
        <w:t>Saskaņā ar Likuma 9. panta četrpadsmitās daļas nosacījumiem informēt pretendentu par Iepirkumu komisijas lēmuma 1.punktā norādīto 3 (triju) darbdienu laikā pēc Iepirkumu komisijas lēmuma pieņemšanas.</w:t>
      </w:r>
    </w:p>
    <w:p w:rsidR="00032087" w:rsidRPr="005832F1" w:rsidRDefault="005832F1" w:rsidP="005832F1">
      <w:pPr>
        <w:pStyle w:val="BodyTextIndent2"/>
        <w:numPr>
          <w:ilvl w:val="0"/>
          <w:numId w:val="5"/>
        </w:numPr>
        <w:spacing w:before="120" w:after="120"/>
        <w:ind w:right="-1"/>
        <w:rPr>
          <w:sz w:val="24"/>
        </w:rPr>
      </w:pPr>
      <w:r w:rsidRPr="005832F1">
        <w:rPr>
          <w:sz w:val="24"/>
        </w:rPr>
        <w:t xml:space="preserve">Atbilstoši Pārvaldes 2013. gada 6. marta iekšējiem noteikumiem </w:t>
      </w:r>
      <w:r>
        <w:rPr>
          <w:sz w:val="24"/>
        </w:rPr>
        <w:br/>
      </w:r>
      <w:r w:rsidRPr="005832F1">
        <w:rPr>
          <w:sz w:val="24"/>
        </w:rPr>
        <w:t>Nr. 1/13.1–n.–5 "Publisko iepirkumu organizēšanas kārtība Ieslodzījuma vietu pārvaldē" un ievērojot Likumā noteiktos termiņus līguma noslēgšanai</w:t>
      </w:r>
      <w:r w:rsidR="00FF7E7C" w:rsidRPr="005832F1">
        <w:rPr>
          <w:sz w:val="24"/>
        </w:rPr>
        <w:t>, uzdot Pārvaldes centrālā aparāta Iepirkumu un līgumu daļai koordinēt līguma noslēgšanu ar Iepirkumu komisijas lēmuma 1.punktā minēto pretendentu.</w:t>
      </w:r>
    </w:p>
    <w:p w:rsidR="00FF7E7C" w:rsidRPr="00032087" w:rsidRDefault="00FF7E7C" w:rsidP="0078411C">
      <w:pPr>
        <w:pStyle w:val="BodyTextIndent2"/>
        <w:numPr>
          <w:ilvl w:val="0"/>
          <w:numId w:val="5"/>
        </w:numPr>
        <w:spacing w:before="120" w:after="120"/>
        <w:ind w:right="-1"/>
        <w:rPr>
          <w:sz w:val="24"/>
          <w:lang w:val="lv-LV"/>
        </w:rPr>
      </w:pPr>
      <w:r w:rsidRPr="00032087">
        <w:rPr>
          <w:sz w:val="24"/>
        </w:rPr>
        <w:t xml:space="preserve">Saskaņā ar Likuma 9. panta septiņpadsmito daļu 10 (desmit) darbdienu laikā pēc līguma noslēgšanas publicēt informatīvu paziņojumu Iepirkumu uzraudzības biroja mājaslapā par noslēgto līgumu. </w:t>
      </w:r>
    </w:p>
    <w:p w:rsidR="00032087" w:rsidRDefault="00032087" w:rsidP="0078411C">
      <w:pPr>
        <w:pStyle w:val="BodyTextIndent2"/>
        <w:spacing w:before="120" w:after="120"/>
        <w:ind w:right="-1" w:firstLine="0"/>
        <w:rPr>
          <w:sz w:val="24"/>
        </w:rPr>
      </w:pPr>
    </w:p>
    <w:p w:rsidR="00FF7E7C" w:rsidRPr="00032087" w:rsidRDefault="00FF7E7C" w:rsidP="0078411C">
      <w:pPr>
        <w:pStyle w:val="BodyTextIndent2"/>
        <w:spacing w:before="120" w:after="120"/>
        <w:ind w:right="-1"/>
        <w:rPr>
          <w:sz w:val="24"/>
          <w:lang w:val="lv-LV"/>
        </w:rPr>
      </w:pPr>
      <w:r w:rsidRPr="00FF7E7C">
        <w:rPr>
          <w:sz w:val="24"/>
        </w:rPr>
        <w:t xml:space="preserve">Piedāvājumu vērtēšanas sēde tiek slēgta plkst. </w:t>
      </w:r>
      <w:r w:rsidR="00760CA9">
        <w:rPr>
          <w:sz w:val="24"/>
          <w:lang w:val="lv-LV"/>
        </w:rPr>
        <w:t>14.00</w:t>
      </w:r>
    </w:p>
    <w:p w:rsidR="00A53163" w:rsidRDefault="00A53163" w:rsidP="0020525C">
      <w:pPr>
        <w:pStyle w:val="BodyTextIndent2"/>
        <w:spacing w:before="120" w:after="120"/>
        <w:ind w:right="-1"/>
        <w:rPr>
          <w:sz w:val="24"/>
        </w:rPr>
      </w:pPr>
    </w:p>
    <w:p w:rsidR="00032087" w:rsidRDefault="00032087" w:rsidP="0020525C">
      <w:pPr>
        <w:pStyle w:val="BodyTextIndent2"/>
        <w:spacing w:before="120" w:after="120"/>
        <w:ind w:right="-1"/>
        <w:rPr>
          <w:sz w:val="24"/>
        </w:rPr>
      </w:pPr>
    </w:p>
    <w:p w:rsidR="00032087" w:rsidRDefault="00032087" w:rsidP="0020525C">
      <w:pPr>
        <w:pStyle w:val="BodyTextIndent2"/>
        <w:spacing w:before="120" w:after="120"/>
        <w:ind w:right="-1"/>
        <w:rPr>
          <w:sz w:val="24"/>
        </w:rPr>
      </w:pPr>
    </w:p>
    <w:p w:rsidR="00032087" w:rsidRDefault="00F71FE6" w:rsidP="00032087">
      <w:pPr>
        <w:spacing w:after="0" w:line="480" w:lineRule="auto"/>
        <w:ind w:right="-1"/>
        <w:rPr>
          <w:rFonts w:ascii="Times New Roman" w:hAnsi="Times New Roman"/>
          <w:sz w:val="24"/>
          <w:szCs w:val="24"/>
        </w:rPr>
      </w:pPr>
      <w:r w:rsidRPr="002513E7">
        <w:rPr>
          <w:rFonts w:ascii="Times New Roman" w:hAnsi="Times New Roman"/>
          <w:sz w:val="24"/>
          <w:szCs w:val="24"/>
        </w:rPr>
        <w:t>Iepirkumu komisijas priekšsēdētāja:                                                                             T. Trocka</w:t>
      </w:r>
    </w:p>
    <w:p w:rsidR="00032087" w:rsidRDefault="00E7161A" w:rsidP="00032087">
      <w:pPr>
        <w:spacing w:after="0" w:line="480" w:lineRule="auto"/>
        <w:ind w:right="-1"/>
        <w:rPr>
          <w:rFonts w:ascii="Times New Roman" w:hAnsi="Times New Roman"/>
          <w:sz w:val="24"/>
          <w:szCs w:val="24"/>
        </w:rPr>
      </w:pPr>
      <w:r w:rsidRPr="00E7161A">
        <w:rPr>
          <w:rFonts w:ascii="Times New Roman" w:hAnsi="Times New Roman"/>
          <w:noProof/>
          <w:sz w:val="24"/>
          <w:szCs w:val="24"/>
        </w:rPr>
        <w:t>Iepirkumu komisijas priekšsēdētāja vietniece:</w:t>
      </w:r>
      <w:r w:rsidRPr="00E7161A">
        <w:rPr>
          <w:rFonts w:ascii="Times New Roman" w:hAnsi="Times New Roman"/>
          <w:noProof/>
          <w:sz w:val="24"/>
          <w:szCs w:val="24"/>
        </w:rPr>
        <w:tab/>
        <w:t xml:space="preserve">                                              N. Gruzdova</w:t>
      </w:r>
    </w:p>
    <w:p w:rsidR="00032087" w:rsidRPr="00032087" w:rsidRDefault="00E7161A" w:rsidP="00032087">
      <w:pPr>
        <w:spacing w:after="0" w:line="480" w:lineRule="auto"/>
        <w:ind w:right="-1"/>
        <w:rPr>
          <w:rFonts w:ascii="Times New Roman" w:hAnsi="Times New Roman"/>
          <w:sz w:val="24"/>
          <w:szCs w:val="24"/>
        </w:rPr>
      </w:pPr>
      <w:r w:rsidRPr="00E7161A">
        <w:rPr>
          <w:rFonts w:ascii="Times New Roman" w:hAnsi="Times New Roman"/>
          <w:noProof/>
          <w:sz w:val="24"/>
          <w:szCs w:val="24"/>
        </w:rPr>
        <w:t>Iepirkumu komisijas locekļi:</w:t>
      </w:r>
      <w:r w:rsidR="00032087" w:rsidRPr="00032087">
        <w:rPr>
          <w:rFonts w:ascii="Times New Roman" w:hAnsi="Times New Roman"/>
          <w:noProof/>
          <w:sz w:val="24"/>
          <w:szCs w:val="24"/>
        </w:rPr>
        <w:t xml:space="preserve">                                                                                   M. Vekmanis</w:t>
      </w:r>
    </w:p>
    <w:p w:rsidR="00032087" w:rsidRPr="00032087" w:rsidRDefault="00032087" w:rsidP="00032087">
      <w:pPr>
        <w:spacing w:before="120" w:after="0" w:line="240" w:lineRule="auto"/>
        <w:jc w:val="right"/>
        <w:rPr>
          <w:rFonts w:ascii="Times New Roman" w:hAnsi="Times New Roman"/>
          <w:noProof/>
          <w:sz w:val="24"/>
          <w:szCs w:val="24"/>
        </w:rPr>
      </w:pPr>
      <w:r w:rsidRPr="00032087">
        <w:rPr>
          <w:rFonts w:ascii="Times New Roman" w:hAnsi="Times New Roman"/>
          <w:noProof/>
          <w:sz w:val="24"/>
          <w:szCs w:val="24"/>
        </w:rPr>
        <w:t xml:space="preserve">                                                                                                                                J.Baranova</w:t>
      </w:r>
    </w:p>
    <w:p w:rsidR="00032087" w:rsidRPr="00032087" w:rsidRDefault="00032087" w:rsidP="00032087">
      <w:pPr>
        <w:spacing w:before="120" w:after="0" w:line="240" w:lineRule="auto"/>
        <w:jc w:val="both"/>
        <w:rPr>
          <w:rFonts w:ascii="Times New Roman" w:hAnsi="Times New Roman"/>
          <w:noProof/>
          <w:sz w:val="24"/>
          <w:szCs w:val="24"/>
        </w:rPr>
      </w:pPr>
    </w:p>
    <w:p w:rsidR="00032087" w:rsidRPr="00032087" w:rsidRDefault="00032087" w:rsidP="00032087">
      <w:pPr>
        <w:spacing w:before="120" w:after="0" w:line="240" w:lineRule="auto"/>
        <w:jc w:val="right"/>
        <w:rPr>
          <w:rFonts w:ascii="Times New Roman" w:hAnsi="Times New Roman"/>
          <w:noProof/>
          <w:sz w:val="24"/>
          <w:szCs w:val="24"/>
        </w:rPr>
      </w:pPr>
      <w:r w:rsidRPr="00032087">
        <w:rPr>
          <w:rFonts w:ascii="Times New Roman" w:hAnsi="Times New Roman"/>
          <w:noProof/>
          <w:sz w:val="24"/>
          <w:szCs w:val="24"/>
        </w:rPr>
        <w:t>V.Petruhins</w:t>
      </w:r>
    </w:p>
    <w:p w:rsidR="00032087" w:rsidRPr="00032087" w:rsidRDefault="00032087" w:rsidP="00032087">
      <w:pPr>
        <w:spacing w:before="120" w:after="0" w:line="240" w:lineRule="auto"/>
        <w:jc w:val="both"/>
        <w:rPr>
          <w:rFonts w:ascii="Times New Roman" w:hAnsi="Times New Roman"/>
          <w:noProof/>
          <w:sz w:val="24"/>
          <w:szCs w:val="24"/>
        </w:rPr>
      </w:pPr>
    </w:p>
    <w:p w:rsidR="00E7161A" w:rsidRDefault="00032087" w:rsidP="00032087">
      <w:pPr>
        <w:spacing w:before="120" w:after="0" w:line="240" w:lineRule="auto"/>
        <w:jc w:val="right"/>
        <w:rPr>
          <w:rFonts w:ascii="Times New Roman" w:eastAsia="Times New Roman" w:hAnsi="Times New Roman"/>
          <w:sz w:val="24"/>
          <w:szCs w:val="24"/>
        </w:rPr>
      </w:pPr>
      <w:r w:rsidRPr="00032087">
        <w:rPr>
          <w:rFonts w:ascii="Times New Roman" w:hAnsi="Times New Roman"/>
          <w:noProof/>
          <w:sz w:val="24"/>
          <w:szCs w:val="24"/>
        </w:rPr>
        <w:t>G. Bogdanovs</w:t>
      </w:r>
    </w:p>
    <w:p w:rsidR="00D13473" w:rsidRPr="002513E7" w:rsidRDefault="00D13473" w:rsidP="00495E85">
      <w:pPr>
        <w:tabs>
          <w:tab w:val="right" w:pos="9639"/>
        </w:tabs>
        <w:spacing w:before="480" w:after="120" w:line="240" w:lineRule="auto"/>
        <w:jc w:val="both"/>
        <w:rPr>
          <w:rFonts w:ascii="Times New Roman" w:eastAsia="Times New Roman" w:hAnsi="Times New Roman"/>
          <w:sz w:val="24"/>
          <w:szCs w:val="24"/>
        </w:rPr>
      </w:pPr>
      <w:r w:rsidRPr="002513E7">
        <w:rPr>
          <w:rFonts w:ascii="Times New Roman" w:eastAsia="Times New Roman" w:hAnsi="Times New Roman"/>
          <w:sz w:val="24"/>
          <w:szCs w:val="24"/>
        </w:rPr>
        <w:t xml:space="preserve">Protokolētājs:                                                                                                            </w:t>
      </w:r>
      <w:r w:rsidR="002513E7" w:rsidRPr="002513E7">
        <w:rPr>
          <w:rFonts w:ascii="Times New Roman" w:eastAsia="Times New Roman" w:hAnsi="Times New Roman"/>
          <w:sz w:val="24"/>
          <w:szCs w:val="24"/>
        </w:rPr>
        <w:t xml:space="preserve">           </w:t>
      </w:r>
      <w:r w:rsidRPr="002513E7">
        <w:rPr>
          <w:rFonts w:ascii="Times New Roman" w:eastAsia="Times New Roman" w:hAnsi="Times New Roman"/>
          <w:sz w:val="24"/>
          <w:szCs w:val="24"/>
        </w:rPr>
        <w:t xml:space="preserve"> </w:t>
      </w:r>
      <w:r w:rsidR="002513E7" w:rsidRPr="002513E7">
        <w:rPr>
          <w:rFonts w:ascii="Times New Roman" w:eastAsia="Times New Roman" w:hAnsi="Times New Roman"/>
          <w:sz w:val="24"/>
          <w:szCs w:val="24"/>
        </w:rPr>
        <w:t>N.Ozoliņš</w:t>
      </w:r>
    </w:p>
    <w:sectPr w:rsidR="00D13473" w:rsidRPr="002513E7" w:rsidSect="00FF7E7C">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74C" w:rsidRDefault="003C174C" w:rsidP="00171A05">
      <w:pPr>
        <w:spacing w:after="0" w:line="240" w:lineRule="auto"/>
      </w:pPr>
      <w:r>
        <w:separator/>
      </w:r>
    </w:p>
  </w:endnote>
  <w:endnote w:type="continuationSeparator" w:id="0">
    <w:p w:rsidR="003C174C" w:rsidRDefault="003C174C"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74C" w:rsidRDefault="003C174C" w:rsidP="00171A05">
      <w:pPr>
        <w:spacing w:after="0" w:line="240" w:lineRule="auto"/>
      </w:pPr>
      <w:r>
        <w:separator/>
      </w:r>
    </w:p>
  </w:footnote>
  <w:footnote w:type="continuationSeparator" w:id="0">
    <w:p w:rsidR="003C174C" w:rsidRDefault="003C174C"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E747B8">
          <w:rPr>
            <w:rFonts w:ascii="Times New Roman" w:hAnsi="Times New Roman"/>
            <w:noProof/>
          </w:rPr>
          <w:t>2</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A0574F3"/>
    <w:multiLevelType w:val="hybridMultilevel"/>
    <w:tmpl w:val="CF1272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085EA0"/>
    <w:multiLevelType w:val="hybridMultilevel"/>
    <w:tmpl w:val="C106A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8F6B34"/>
    <w:multiLevelType w:val="hybridMultilevel"/>
    <w:tmpl w:val="D6E224DC"/>
    <w:lvl w:ilvl="0" w:tplc="503A21BE">
      <w:start w:val="1"/>
      <w:numFmt w:val="decimal"/>
      <w:suff w:val="space"/>
      <w:lvlText w:val="%1."/>
      <w:lvlJc w:val="left"/>
      <w:pPr>
        <w:ind w:left="0" w:firstLine="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32087"/>
    <w:rsid w:val="000418D1"/>
    <w:rsid w:val="00054351"/>
    <w:rsid w:val="00060216"/>
    <w:rsid w:val="0006087D"/>
    <w:rsid w:val="00064433"/>
    <w:rsid w:val="00065320"/>
    <w:rsid w:val="00071A38"/>
    <w:rsid w:val="000979D1"/>
    <w:rsid w:val="000A053A"/>
    <w:rsid w:val="000A1C7F"/>
    <w:rsid w:val="000A5392"/>
    <w:rsid w:val="000A6CFF"/>
    <w:rsid w:val="000B11E5"/>
    <w:rsid w:val="000C7246"/>
    <w:rsid w:val="000E2D84"/>
    <w:rsid w:val="000F4896"/>
    <w:rsid w:val="000F5F5C"/>
    <w:rsid w:val="000F610F"/>
    <w:rsid w:val="0010081A"/>
    <w:rsid w:val="0010417A"/>
    <w:rsid w:val="001138E1"/>
    <w:rsid w:val="001151B7"/>
    <w:rsid w:val="00116B93"/>
    <w:rsid w:val="00120445"/>
    <w:rsid w:val="0012230E"/>
    <w:rsid w:val="001249EA"/>
    <w:rsid w:val="001266F9"/>
    <w:rsid w:val="00134B72"/>
    <w:rsid w:val="00144B61"/>
    <w:rsid w:val="0015215D"/>
    <w:rsid w:val="001558C2"/>
    <w:rsid w:val="00171105"/>
    <w:rsid w:val="00171A05"/>
    <w:rsid w:val="001754D8"/>
    <w:rsid w:val="001830AC"/>
    <w:rsid w:val="001867B2"/>
    <w:rsid w:val="00190BEA"/>
    <w:rsid w:val="001A2D13"/>
    <w:rsid w:val="001A5B62"/>
    <w:rsid w:val="001A6135"/>
    <w:rsid w:val="001A68B2"/>
    <w:rsid w:val="001B6239"/>
    <w:rsid w:val="001C3785"/>
    <w:rsid w:val="001C3910"/>
    <w:rsid w:val="001D173B"/>
    <w:rsid w:val="001D63A9"/>
    <w:rsid w:val="001F0D8D"/>
    <w:rsid w:val="001F2A17"/>
    <w:rsid w:val="001F38A5"/>
    <w:rsid w:val="002010C7"/>
    <w:rsid w:val="0020525C"/>
    <w:rsid w:val="00225133"/>
    <w:rsid w:val="00231E4C"/>
    <w:rsid w:val="00232CF2"/>
    <w:rsid w:val="00236C3F"/>
    <w:rsid w:val="002405A2"/>
    <w:rsid w:val="0024338B"/>
    <w:rsid w:val="00244ED4"/>
    <w:rsid w:val="00246568"/>
    <w:rsid w:val="002513E7"/>
    <w:rsid w:val="00252350"/>
    <w:rsid w:val="00252730"/>
    <w:rsid w:val="002809BA"/>
    <w:rsid w:val="00282A2C"/>
    <w:rsid w:val="00290B3A"/>
    <w:rsid w:val="002923E2"/>
    <w:rsid w:val="00297CF4"/>
    <w:rsid w:val="002A0B1F"/>
    <w:rsid w:val="002A56B7"/>
    <w:rsid w:val="002A7D94"/>
    <w:rsid w:val="002B0E58"/>
    <w:rsid w:val="002B4E75"/>
    <w:rsid w:val="002B5AEC"/>
    <w:rsid w:val="002E258A"/>
    <w:rsid w:val="002E45F2"/>
    <w:rsid w:val="002E6825"/>
    <w:rsid w:val="003160D9"/>
    <w:rsid w:val="0031693D"/>
    <w:rsid w:val="0032204F"/>
    <w:rsid w:val="003264CA"/>
    <w:rsid w:val="00334DE9"/>
    <w:rsid w:val="003365F1"/>
    <w:rsid w:val="00336BA3"/>
    <w:rsid w:val="003451DB"/>
    <w:rsid w:val="00345924"/>
    <w:rsid w:val="00352323"/>
    <w:rsid w:val="00354487"/>
    <w:rsid w:val="0035575B"/>
    <w:rsid w:val="00355C07"/>
    <w:rsid w:val="003624C9"/>
    <w:rsid w:val="003656B6"/>
    <w:rsid w:val="0037280A"/>
    <w:rsid w:val="00375738"/>
    <w:rsid w:val="00385FF6"/>
    <w:rsid w:val="00394C0A"/>
    <w:rsid w:val="003A5688"/>
    <w:rsid w:val="003A7685"/>
    <w:rsid w:val="003C174C"/>
    <w:rsid w:val="003D32F1"/>
    <w:rsid w:val="003D666A"/>
    <w:rsid w:val="003E465E"/>
    <w:rsid w:val="003F3EB2"/>
    <w:rsid w:val="003F6065"/>
    <w:rsid w:val="0040023A"/>
    <w:rsid w:val="00407C5A"/>
    <w:rsid w:val="00410ACD"/>
    <w:rsid w:val="0042405E"/>
    <w:rsid w:val="004247A9"/>
    <w:rsid w:val="004309C3"/>
    <w:rsid w:val="00456C0E"/>
    <w:rsid w:val="0047120F"/>
    <w:rsid w:val="0047199F"/>
    <w:rsid w:val="004729F3"/>
    <w:rsid w:val="00475119"/>
    <w:rsid w:val="00476C89"/>
    <w:rsid w:val="00477D2D"/>
    <w:rsid w:val="00494B07"/>
    <w:rsid w:val="00495E85"/>
    <w:rsid w:val="00496312"/>
    <w:rsid w:val="00497D52"/>
    <w:rsid w:val="004A06D2"/>
    <w:rsid w:val="004A2482"/>
    <w:rsid w:val="004B3E3E"/>
    <w:rsid w:val="004B53C7"/>
    <w:rsid w:val="004B53DD"/>
    <w:rsid w:val="004B7C23"/>
    <w:rsid w:val="004C04F6"/>
    <w:rsid w:val="004C7732"/>
    <w:rsid w:val="004D10A9"/>
    <w:rsid w:val="004D2FB6"/>
    <w:rsid w:val="004D3274"/>
    <w:rsid w:val="004E3098"/>
    <w:rsid w:val="004E5610"/>
    <w:rsid w:val="004E7408"/>
    <w:rsid w:val="004E754C"/>
    <w:rsid w:val="004E7A39"/>
    <w:rsid w:val="004F17C6"/>
    <w:rsid w:val="004F2E0B"/>
    <w:rsid w:val="004F67CC"/>
    <w:rsid w:val="004F74D7"/>
    <w:rsid w:val="00501DBD"/>
    <w:rsid w:val="00503C2A"/>
    <w:rsid w:val="00516409"/>
    <w:rsid w:val="005227D5"/>
    <w:rsid w:val="00523E8A"/>
    <w:rsid w:val="00531EE8"/>
    <w:rsid w:val="00534AE6"/>
    <w:rsid w:val="005471AA"/>
    <w:rsid w:val="00547868"/>
    <w:rsid w:val="0055276E"/>
    <w:rsid w:val="005531D8"/>
    <w:rsid w:val="00570B29"/>
    <w:rsid w:val="00571640"/>
    <w:rsid w:val="00572201"/>
    <w:rsid w:val="00573F3A"/>
    <w:rsid w:val="00576F77"/>
    <w:rsid w:val="005802DF"/>
    <w:rsid w:val="0058257D"/>
    <w:rsid w:val="00583079"/>
    <w:rsid w:val="005832F1"/>
    <w:rsid w:val="005C0128"/>
    <w:rsid w:val="005C0FB4"/>
    <w:rsid w:val="005C1B2F"/>
    <w:rsid w:val="005C4292"/>
    <w:rsid w:val="005C7319"/>
    <w:rsid w:val="005D1C84"/>
    <w:rsid w:val="005D6C0D"/>
    <w:rsid w:val="005E24A4"/>
    <w:rsid w:val="005E29E0"/>
    <w:rsid w:val="005E5478"/>
    <w:rsid w:val="005F44E2"/>
    <w:rsid w:val="0060466E"/>
    <w:rsid w:val="006133E8"/>
    <w:rsid w:val="00623F55"/>
    <w:rsid w:val="00625A82"/>
    <w:rsid w:val="006261D1"/>
    <w:rsid w:val="00635FB9"/>
    <w:rsid w:val="006363D8"/>
    <w:rsid w:val="00636AA1"/>
    <w:rsid w:val="00640378"/>
    <w:rsid w:val="00644B97"/>
    <w:rsid w:val="0065185B"/>
    <w:rsid w:val="00670E84"/>
    <w:rsid w:val="00680786"/>
    <w:rsid w:val="0068256C"/>
    <w:rsid w:val="00691B09"/>
    <w:rsid w:val="0069271A"/>
    <w:rsid w:val="006A2AEB"/>
    <w:rsid w:val="006C28A0"/>
    <w:rsid w:val="006C2E86"/>
    <w:rsid w:val="006C7519"/>
    <w:rsid w:val="006D0036"/>
    <w:rsid w:val="006D2238"/>
    <w:rsid w:val="006E0712"/>
    <w:rsid w:val="0070053D"/>
    <w:rsid w:val="00700F2B"/>
    <w:rsid w:val="00707C2A"/>
    <w:rsid w:val="00710932"/>
    <w:rsid w:val="0071608A"/>
    <w:rsid w:val="0072548A"/>
    <w:rsid w:val="00727E59"/>
    <w:rsid w:val="00735D10"/>
    <w:rsid w:val="00737C61"/>
    <w:rsid w:val="00742F2D"/>
    <w:rsid w:val="00754D77"/>
    <w:rsid w:val="00760CA9"/>
    <w:rsid w:val="0078411C"/>
    <w:rsid w:val="0078601D"/>
    <w:rsid w:val="00786F63"/>
    <w:rsid w:val="00791EC2"/>
    <w:rsid w:val="0079397E"/>
    <w:rsid w:val="007A00E2"/>
    <w:rsid w:val="007A22A5"/>
    <w:rsid w:val="007B1003"/>
    <w:rsid w:val="007C57BC"/>
    <w:rsid w:val="00804062"/>
    <w:rsid w:val="00804E68"/>
    <w:rsid w:val="008106F6"/>
    <w:rsid w:val="00813ADC"/>
    <w:rsid w:val="008173BD"/>
    <w:rsid w:val="00820985"/>
    <w:rsid w:val="00825AA4"/>
    <w:rsid w:val="00826963"/>
    <w:rsid w:val="00830050"/>
    <w:rsid w:val="008440E8"/>
    <w:rsid w:val="00860778"/>
    <w:rsid w:val="00860F66"/>
    <w:rsid w:val="008771BD"/>
    <w:rsid w:val="00895D5E"/>
    <w:rsid w:val="008C7437"/>
    <w:rsid w:val="008D1B00"/>
    <w:rsid w:val="008D33EB"/>
    <w:rsid w:val="008E2F0E"/>
    <w:rsid w:val="008F1F46"/>
    <w:rsid w:val="008F76DF"/>
    <w:rsid w:val="0090115C"/>
    <w:rsid w:val="0090795E"/>
    <w:rsid w:val="00914150"/>
    <w:rsid w:val="00925004"/>
    <w:rsid w:val="0093566E"/>
    <w:rsid w:val="00942A18"/>
    <w:rsid w:val="00957C79"/>
    <w:rsid w:val="00957DCA"/>
    <w:rsid w:val="009659ED"/>
    <w:rsid w:val="00974F97"/>
    <w:rsid w:val="009816E0"/>
    <w:rsid w:val="00982667"/>
    <w:rsid w:val="009877CF"/>
    <w:rsid w:val="00990977"/>
    <w:rsid w:val="00996C3F"/>
    <w:rsid w:val="009973FB"/>
    <w:rsid w:val="009A379E"/>
    <w:rsid w:val="009A4776"/>
    <w:rsid w:val="009C2CC4"/>
    <w:rsid w:val="009C5C54"/>
    <w:rsid w:val="009D1D6A"/>
    <w:rsid w:val="009E4223"/>
    <w:rsid w:val="009E553F"/>
    <w:rsid w:val="009E6140"/>
    <w:rsid w:val="009F1E6B"/>
    <w:rsid w:val="009F3D95"/>
    <w:rsid w:val="00A02733"/>
    <w:rsid w:val="00A1043E"/>
    <w:rsid w:val="00A2114B"/>
    <w:rsid w:val="00A24940"/>
    <w:rsid w:val="00A34B72"/>
    <w:rsid w:val="00A43A30"/>
    <w:rsid w:val="00A462FF"/>
    <w:rsid w:val="00A5080F"/>
    <w:rsid w:val="00A53163"/>
    <w:rsid w:val="00A5356F"/>
    <w:rsid w:val="00A66E17"/>
    <w:rsid w:val="00A67C86"/>
    <w:rsid w:val="00A721DD"/>
    <w:rsid w:val="00A80547"/>
    <w:rsid w:val="00A813BC"/>
    <w:rsid w:val="00AA3A48"/>
    <w:rsid w:val="00AA5E89"/>
    <w:rsid w:val="00AB6BA3"/>
    <w:rsid w:val="00AC7280"/>
    <w:rsid w:val="00B032A1"/>
    <w:rsid w:val="00B12074"/>
    <w:rsid w:val="00B15DB0"/>
    <w:rsid w:val="00B21BFD"/>
    <w:rsid w:val="00B22A5B"/>
    <w:rsid w:val="00B2386C"/>
    <w:rsid w:val="00B37E16"/>
    <w:rsid w:val="00B44057"/>
    <w:rsid w:val="00B45270"/>
    <w:rsid w:val="00B60813"/>
    <w:rsid w:val="00B61282"/>
    <w:rsid w:val="00B62CEB"/>
    <w:rsid w:val="00B637A9"/>
    <w:rsid w:val="00B65BAF"/>
    <w:rsid w:val="00B7115E"/>
    <w:rsid w:val="00B73099"/>
    <w:rsid w:val="00B737F3"/>
    <w:rsid w:val="00B857E8"/>
    <w:rsid w:val="00B90BAE"/>
    <w:rsid w:val="00B9303C"/>
    <w:rsid w:val="00B968D2"/>
    <w:rsid w:val="00BA605A"/>
    <w:rsid w:val="00BA670B"/>
    <w:rsid w:val="00BC5800"/>
    <w:rsid w:val="00BD0F27"/>
    <w:rsid w:val="00BD559A"/>
    <w:rsid w:val="00BE02A2"/>
    <w:rsid w:val="00BE2516"/>
    <w:rsid w:val="00BE4F2B"/>
    <w:rsid w:val="00BF05C1"/>
    <w:rsid w:val="00BF757C"/>
    <w:rsid w:val="00C13FC6"/>
    <w:rsid w:val="00C22CF5"/>
    <w:rsid w:val="00C27291"/>
    <w:rsid w:val="00C422E5"/>
    <w:rsid w:val="00C4233A"/>
    <w:rsid w:val="00C879C5"/>
    <w:rsid w:val="00C90319"/>
    <w:rsid w:val="00C916C9"/>
    <w:rsid w:val="00C9496F"/>
    <w:rsid w:val="00C94C78"/>
    <w:rsid w:val="00CC1340"/>
    <w:rsid w:val="00CC3E84"/>
    <w:rsid w:val="00CC68A7"/>
    <w:rsid w:val="00CD20E0"/>
    <w:rsid w:val="00CD31B8"/>
    <w:rsid w:val="00CD4035"/>
    <w:rsid w:val="00CE0B27"/>
    <w:rsid w:val="00CF086C"/>
    <w:rsid w:val="00CF202F"/>
    <w:rsid w:val="00CF32E5"/>
    <w:rsid w:val="00D06922"/>
    <w:rsid w:val="00D113A6"/>
    <w:rsid w:val="00D122C6"/>
    <w:rsid w:val="00D13473"/>
    <w:rsid w:val="00D14FBE"/>
    <w:rsid w:val="00D158FC"/>
    <w:rsid w:val="00D365F3"/>
    <w:rsid w:val="00D56304"/>
    <w:rsid w:val="00D602E9"/>
    <w:rsid w:val="00D6299F"/>
    <w:rsid w:val="00D64078"/>
    <w:rsid w:val="00D70E46"/>
    <w:rsid w:val="00D866FE"/>
    <w:rsid w:val="00D9278C"/>
    <w:rsid w:val="00D93F84"/>
    <w:rsid w:val="00D95E96"/>
    <w:rsid w:val="00DA6352"/>
    <w:rsid w:val="00DA7C83"/>
    <w:rsid w:val="00DB0CE9"/>
    <w:rsid w:val="00DB4ED8"/>
    <w:rsid w:val="00DB6420"/>
    <w:rsid w:val="00DB67D6"/>
    <w:rsid w:val="00DC6F22"/>
    <w:rsid w:val="00DD0C89"/>
    <w:rsid w:val="00DD5686"/>
    <w:rsid w:val="00DE11DA"/>
    <w:rsid w:val="00DE4A02"/>
    <w:rsid w:val="00DE61BD"/>
    <w:rsid w:val="00DF5764"/>
    <w:rsid w:val="00E105EF"/>
    <w:rsid w:val="00E43DDA"/>
    <w:rsid w:val="00E450AE"/>
    <w:rsid w:val="00E47AD4"/>
    <w:rsid w:val="00E513A5"/>
    <w:rsid w:val="00E51F30"/>
    <w:rsid w:val="00E5405A"/>
    <w:rsid w:val="00E54DDC"/>
    <w:rsid w:val="00E554E7"/>
    <w:rsid w:val="00E64420"/>
    <w:rsid w:val="00E7161A"/>
    <w:rsid w:val="00E722F8"/>
    <w:rsid w:val="00E747B8"/>
    <w:rsid w:val="00E753D5"/>
    <w:rsid w:val="00E75F0E"/>
    <w:rsid w:val="00E84ADF"/>
    <w:rsid w:val="00E85BA4"/>
    <w:rsid w:val="00E9129A"/>
    <w:rsid w:val="00EA0EDC"/>
    <w:rsid w:val="00EB2652"/>
    <w:rsid w:val="00ED556B"/>
    <w:rsid w:val="00ED7F99"/>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507C"/>
    <w:rsid w:val="00F602F9"/>
    <w:rsid w:val="00F71FE6"/>
    <w:rsid w:val="00F759DF"/>
    <w:rsid w:val="00F87524"/>
    <w:rsid w:val="00F90953"/>
    <w:rsid w:val="00FA657C"/>
    <w:rsid w:val="00FB04F4"/>
    <w:rsid w:val="00FB076A"/>
    <w:rsid w:val="00FB6BA0"/>
    <w:rsid w:val="00FC0A9F"/>
    <w:rsid w:val="00FC16AF"/>
    <w:rsid w:val="00FC3DE5"/>
    <w:rsid w:val="00FC7368"/>
    <w:rsid w:val="00FE177A"/>
    <w:rsid w:val="00FE307B"/>
    <w:rsid w:val="00FE3109"/>
    <w:rsid w:val="00FF7D4A"/>
    <w:rsid w:val="00FF7E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AF5569D"/>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 w:type="character" w:styleId="FollowedHyperlink">
    <w:name w:val="FollowedHyperlink"/>
    <w:basedOn w:val="DefaultParagraphFont"/>
    <w:uiPriority w:val="99"/>
    <w:semiHidden/>
    <w:unhideWhenUsed/>
    <w:rsid w:val="00CC13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5199660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s.gov.lv/bisp/lv/construction_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945C3-E93F-4868-A753-59D2B9B4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7784</Words>
  <Characters>4438</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3</cp:revision>
  <cp:lastPrinted>2017-08-09T08:17:00Z</cp:lastPrinted>
  <dcterms:created xsi:type="dcterms:W3CDTF">2017-09-13T09:49:00Z</dcterms:created>
  <dcterms:modified xsi:type="dcterms:W3CDTF">2017-09-14T11:02:00Z</dcterms:modified>
</cp:coreProperties>
</file>