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DB7B93" w:rsidP="00E31661">
      <w:pPr>
        <w:pStyle w:val="Subtitle"/>
        <w:ind w:right="49"/>
        <w:jc w:val="center"/>
        <w:rPr>
          <w:b/>
          <w:szCs w:val="24"/>
          <w:lang w:val="lv-LV"/>
        </w:rPr>
      </w:pPr>
      <w:r w:rsidRPr="00AE2B74">
        <w:rPr>
          <w:b/>
          <w:szCs w:val="24"/>
          <w:lang w:val="lv-LV"/>
        </w:rPr>
        <w:t>„</w:t>
      </w:r>
      <w:r w:rsidR="001C4A55" w:rsidRPr="001C4A55">
        <w:rPr>
          <w:b/>
          <w:lang w:val="lv-LV"/>
        </w:rPr>
        <w:t xml:space="preserve">Apsardzes signalizācijas, videonovērošanas sistēmas, sakaru sistēmas un ugunsdrošības sistēmas apkope </w:t>
      </w:r>
      <w:r w:rsidR="006364C3" w:rsidRPr="006364C3">
        <w:rPr>
          <w:b/>
          <w:lang w:val="lv-LV"/>
        </w:rPr>
        <w:t>Olaines cietuma (Latvijas Cietumu slimnīcas) Atkarīgo centrā un aizliegtajā teritorijā</w:t>
      </w:r>
      <w:r w:rsidRPr="00AE2B74">
        <w:rPr>
          <w:b/>
          <w:szCs w:val="24"/>
          <w:lang w:val="lv-LV"/>
        </w:rPr>
        <w:t>”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6364C3">
        <w:t>62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BD2D6A">
        <w:rPr>
          <w:b w:val="0"/>
          <w:szCs w:val="24"/>
        </w:rPr>
        <w:t>26</w:t>
      </w:r>
      <w:r w:rsidR="001C4A55">
        <w:rPr>
          <w:b w:val="0"/>
          <w:szCs w:val="24"/>
        </w:rPr>
        <w:t>. jūlijā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6364C3">
        <w:t>62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1C4A55" w:rsidRPr="00716C31">
        <w:t xml:space="preserve">Apsardzes signalizācijas, videonovērošanas sistēmas, sakaru sistēmas un ugunsdrošības sistēmas apkope </w:t>
      </w:r>
      <w:r w:rsidR="006364C3">
        <w:t>Olaines cietuma (Latvijas Cietumu slimnīcas) Atkarīgo centrā un aizliegtajā teritorijā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264171">
        <w:t>7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6364C3">
        <w:t>25</w:t>
      </w:r>
      <w:r w:rsidR="001C4A55">
        <w:t>. jūlija</w:t>
      </w:r>
      <w:r w:rsidR="00834672" w:rsidRPr="00AE2B74">
        <w:t>m</w:t>
      </w:r>
      <w:r w:rsidR="00454783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6364C3">
        <w:rPr>
          <w:b/>
          <w:sz w:val="24"/>
          <w:szCs w:val="24"/>
        </w:rPr>
        <w:t>2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6364C3">
        <w:rPr>
          <w:b/>
          <w:sz w:val="24"/>
          <w:szCs w:val="24"/>
        </w:rPr>
        <w:t>divi</w:t>
      </w:r>
      <w:r w:rsidR="00DB7B93" w:rsidRPr="008718ED">
        <w:rPr>
          <w:b/>
          <w:sz w:val="24"/>
          <w:szCs w:val="24"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1C4A55" w:rsidRPr="00465FAC" w:rsidTr="00465FAC">
        <w:trPr>
          <w:trHeight w:val="767"/>
        </w:trPr>
        <w:tc>
          <w:tcPr>
            <w:tcW w:w="2864" w:type="dxa"/>
            <w:vAlign w:val="center"/>
          </w:tcPr>
          <w:p w:rsidR="001C4A55" w:rsidRPr="001C4A55" w:rsidRDefault="001C4A55" w:rsidP="001C4A55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AS „G4S Latvia”, reģistrācijas Nr.40103058465</w:t>
            </w:r>
          </w:p>
        </w:tc>
        <w:tc>
          <w:tcPr>
            <w:tcW w:w="2665" w:type="dxa"/>
            <w:vAlign w:val="center"/>
          </w:tcPr>
          <w:p w:rsidR="001C4A55" w:rsidRPr="001C4A55" w:rsidRDefault="001C4A55" w:rsidP="001C4A55">
            <w:pPr>
              <w:jc w:val="center"/>
              <w:rPr>
                <w:bCs/>
                <w:sz w:val="22"/>
                <w:szCs w:val="22"/>
              </w:rPr>
            </w:pPr>
            <w:r w:rsidRPr="001C4A55">
              <w:rPr>
                <w:sz w:val="22"/>
                <w:szCs w:val="22"/>
              </w:rPr>
              <w:t>Stigu iela 10, Rīga</w:t>
            </w:r>
            <w:r w:rsidRPr="001C4A55">
              <w:rPr>
                <w:bCs/>
                <w:sz w:val="22"/>
                <w:szCs w:val="22"/>
              </w:rPr>
              <w:t xml:space="preserve">, </w:t>
            </w:r>
          </w:p>
          <w:p w:rsidR="001C4A55" w:rsidRPr="001C4A55" w:rsidRDefault="001C4A55" w:rsidP="001C4A55">
            <w:pPr>
              <w:jc w:val="center"/>
              <w:rPr>
                <w:bCs/>
                <w:sz w:val="22"/>
                <w:szCs w:val="22"/>
              </w:rPr>
            </w:pPr>
            <w:r w:rsidRPr="001C4A55">
              <w:rPr>
                <w:bCs/>
                <w:sz w:val="22"/>
                <w:szCs w:val="22"/>
              </w:rPr>
              <w:t>LV-1021</w:t>
            </w:r>
          </w:p>
        </w:tc>
        <w:tc>
          <w:tcPr>
            <w:tcW w:w="2693" w:type="dxa"/>
            <w:vAlign w:val="center"/>
          </w:tcPr>
          <w:p w:rsidR="001C4A55" w:rsidRDefault="006364C3" w:rsidP="001C4A55">
            <w:pPr>
              <w:jc w:val="center"/>
            </w:pPr>
            <w:r>
              <w:rPr>
                <w:sz w:val="22"/>
                <w:szCs w:val="22"/>
              </w:rPr>
              <w:t>2017. gada 25</w:t>
            </w:r>
            <w:r w:rsidR="001C4A55">
              <w:rPr>
                <w:sz w:val="22"/>
                <w:szCs w:val="22"/>
              </w:rPr>
              <w:t>. jūlijā</w:t>
            </w:r>
          </w:p>
        </w:tc>
        <w:tc>
          <w:tcPr>
            <w:tcW w:w="1701" w:type="dxa"/>
            <w:vAlign w:val="center"/>
          </w:tcPr>
          <w:p w:rsidR="001C4A55" w:rsidRPr="00465FAC" w:rsidRDefault="006364C3" w:rsidP="001C4A55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10939</w:t>
            </w:r>
          </w:p>
        </w:tc>
      </w:tr>
      <w:tr w:rsidR="006364C3" w:rsidRPr="00465FAC" w:rsidTr="00465FAC">
        <w:trPr>
          <w:trHeight w:val="767"/>
        </w:trPr>
        <w:tc>
          <w:tcPr>
            <w:tcW w:w="2864" w:type="dxa"/>
            <w:vAlign w:val="center"/>
          </w:tcPr>
          <w:p w:rsidR="006364C3" w:rsidRPr="001C4A55" w:rsidRDefault="006364C3" w:rsidP="006364C3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„NCS LV”, reģistrācijas Nr.40103551993</w:t>
            </w:r>
          </w:p>
        </w:tc>
        <w:tc>
          <w:tcPr>
            <w:tcW w:w="2665" w:type="dxa"/>
            <w:vAlign w:val="center"/>
          </w:tcPr>
          <w:p w:rsidR="006364C3" w:rsidRPr="001C4A55" w:rsidRDefault="006364C3" w:rsidP="006364C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Dārzaugļu</w:t>
            </w:r>
            <w:proofErr w:type="spellEnd"/>
            <w:r w:rsidRPr="001C4A55">
              <w:rPr>
                <w:sz w:val="22"/>
                <w:szCs w:val="22"/>
              </w:rPr>
              <w:t xml:space="preserve"> iela </w:t>
            </w:r>
            <w:r>
              <w:rPr>
                <w:sz w:val="22"/>
                <w:szCs w:val="22"/>
              </w:rPr>
              <w:t>8-1</w:t>
            </w:r>
            <w:r w:rsidRPr="001C4A55">
              <w:rPr>
                <w:sz w:val="22"/>
                <w:szCs w:val="22"/>
              </w:rPr>
              <w:t>, Rīga</w:t>
            </w:r>
            <w:r w:rsidRPr="001C4A55">
              <w:rPr>
                <w:bCs/>
                <w:sz w:val="22"/>
                <w:szCs w:val="22"/>
              </w:rPr>
              <w:t xml:space="preserve">, </w:t>
            </w:r>
          </w:p>
          <w:p w:rsidR="006364C3" w:rsidRPr="001C4A55" w:rsidRDefault="006364C3" w:rsidP="006364C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LV-1012</w:t>
            </w:r>
          </w:p>
        </w:tc>
        <w:tc>
          <w:tcPr>
            <w:tcW w:w="2693" w:type="dxa"/>
            <w:vAlign w:val="center"/>
          </w:tcPr>
          <w:p w:rsidR="006364C3" w:rsidRDefault="006364C3" w:rsidP="006364C3">
            <w:pPr>
              <w:jc w:val="center"/>
            </w:pPr>
            <w:r>
              <w:rPr>
                <w:sz w:val="22"/>
                <w:szCs w:val="22"/>
              </w:rPr>
              <w:t>2017. gada 25. jūlijā</w:t>
            </w:r>
          </w:p>
        </w:tc>
        <w:tc>
          <w:tcPr>
            <w:tcW w:w="1701" w:type="dxa"/>
            <w:vAlign w:val="center"/>
          </w:tcPr>
          <w:p w:rsidR="006364C3" w:rsidRPr="00465FAC" w:rsidRDefault="006364C3" w:rsidP="006364C3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10953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1879"/>
        <w:gridCol w:w="1879"/>
      </w:tblGrid>
      <w:tr w:rsidR="001C4A55" w:rsidRPr="000B6E5A" w:rsidTr="00BB6BD2">
        <w:tc>
          <w:tcPr>
            <w:tcW w:w="9854" w:type="dxa"/>
            <w:gridSpan w:val="3"/>
          </w:tcPr>
          <w:p w:rsidR="001C4A55" w:rsidRPr="001C4A55" w:rsidRDefault="001C4A55" w:rsidP="00BB6BD2">
            <w:r w:rsidRPr="001C4A55">
              <w:rPr>
                <w:bCs/>
                <w:lang w:eastAsia="lv-LV"/>
              </w:rPr>
              <w:t>AS „G4S Latvia”, reģistrācijas Nr.40103058465</w:t>
            </w:r>
          </w:p>
        </w:tc>
      </w:tr>
      <w:tr w:rsidR="001C4A55" w:rsidRPr="000B6E5A" w:rsidTr="00BB6BD2">
        <w:tc>
          <w:tcPr>
            <w:tcW w:w="6096" w:type="dxa"/>
            <w:vMerge w:val="restart"/>
          </w:tcPr>
          <w:p w:rsidR="001C4A55" w:rsidRPr="003A45A8" w:rsidRDefault="001C4A55" w:rsidP="00F20286">
            <w:r w:rsidRPr="003A45A8">
              <w:rPr>
                <w:b/>
              </w:rPr>
              <w:t>Līgumcena</w:t>
            </w:r>
            <w:r w:rsidRPr="003A45A8">
              <w:t xml:space="preserve"> (visu pakalpojumu kopēj</w:t>
            </w:r>
            <w:r>
              <w:t>ā</w:t>
            </w:r>
            <w:r w:rsidRPr="003A45A8">
              <w:t xml:space="preserve"> cena par visu noteikto sistēmu apkop</w:t>
            </w:r>
            <w:r>
              <w:t xml:space="preserve">i visā līguma darbības laikā – </w:t>
            </w:r>
            <w:r w:rsidR="00F20286">
              <w:t>12</w:t>
            </w:r>
            <w:r w:rsidRPr="003A45A8">
              <w:t xml:space="preserve"> mēneši), </w:t>
            </w:r>
            <w:r w:rsidRPr="003A45A8">
              <w:rPr>
                <w:b/>
              </w:rPr>
              <w:t xml:space="preserve">EUR bez </w:t>
            </w:r>
            <w:r w:rsidR="005E77C4">
              <w:rPr>
                <w:b/>
              </w:rPr>
              <w:t>PVN</w:t>
            </w:r>
            <w:r w:rsidRPr="003A45A8">
              <w:t xml:space="preserve"> </w:t>
            </w:r>
            <w:r w:rsidRPr="003A45A8">
              <w:rPr>
                <w:b/>
              </w:rPr>
              <w:t>(vērtēšanas kritērijs)</w:t>
            </w:r>
          </w:p>
        </w:tc>
        <w:tc>
          <w:tcPr>
            <w:tcW w:w="1879" w:type="dxa"/>
          </w:tcPr>
          <w:p w:rsidR="001C4A55" w:rsidRPr="003A45A8" w:rsidRDefault="001C4A55" w:rsidP="00BB6BD2">
            <w:r w:rsidRPr="003A45A8">
              <w:t>Cena bez PVN</w:t>
            </w:r>
          </w:p>
        </w:tc>
        <w:tc>
          <w:tcPr>
            <w:tcW w:w="1879" w:type="dxa"/>
          </w:tcPr>
          <w:p w:rsidR="001C4A55" w:rsidRPr="003A45A8" w:rsidRDefault="001C4A55" w:rsidP="00BB6BD2">
            <w:r w:rsidRPr="003A45A8">
              <w:t>Cena ar PVN</w:t>
            </w:r>
          </w:p>
          <w:p w:rsidR="001C4A55" w:rsidRPr="003A45A8" w:rsidRDefault="001C4A55" w:rsidP="00BB6BD2">
            <w:r w:rsidRPr="003A45A8">
              <w:t>(informācijai)</w:t>
            </w:r>
          </w:p>
        </w:tc>
      </w:tr>
      <w:tr w:rsidR="001C4A55" w:rsidRPr="000B6E5A" w:rsidTr="00BB6BD2">
        <w:tc>
          <w:tcPr>
            <w:tcW w:w="6096" w:type="dxa"/>
            <w:vMerge/>
          </w:tcPr>
          <w:p w:rsidR="001C4A55" w:rsidRPr="003A45A8" w:rsidRDefault="001C4A55" w:rsidP="00BB6BD2"/>
        </w:tc>
        <w:tc>
          <w:tcPr>
            <w:tcW w:w="1879" w:type="dxa"/>
            <w:vAlign w:val="center"/>
          </w:tcPr>
          <w:p w:rsidR="001C4A55" w:rsidRPr="003A45A8" w:rsidRDefault="00F20286" w:rsidP="00BB6BD2">
            <w:pPr>
              <w:jc w:val="center"/>
              <w:rPr>
                <w:b/>
              </w:rPr>
            </w:pPr>
            <w:r>
              <w:rPr>
                <w:b/>
              </w:rPr>
              <w:t>3540,00</w:t>
            </w:r>
          </w:p>
        </w:tc>
        <w:tc>
          <w:tcPr>
            <w:tcW w:w="1879" w:type="dxa"/>
            <w:vAlign w:val="center"/>
          </w:tcPr>
          <w:p w:rsidR="001C4A55" w:rsidRPr="003A45A8" w:rsidRDefault="00F20286" w:rsidP="00BB6BD2">
            <w:pPr>
              <w:jc w:val="center"/>
            </w:pPr>
            <w:r>
              <w:t>4283,40</w:t>
            </w:r>
          </w:p>
        </w:tc>
      </w:tr>
    </w:tbl>
    <w:p w:rsidR="00F20286" w:rsidRDefault="00F20286" w:rsidP="005E77C4">
      <w:pPr>
        <w:spacing w:before="120"/>
        <w:ind w:right="49"/>
        <w:jc w:val="both"/>
        <w:rPr>
          <w:b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1879"/>
        <w:gridCol w:w="1879"/>
      </w:tblGrid>
      <w:tr w:rsidR="00F20286" w:rsidRPr="000B6E5A" w:rsidTr="006F0EB0">
        <w:tc>
          <w:tcPr>
            <w:tcW w:w="9854" w:type="dxa"/>
            <w:gridSpan w:val="3"/>
          </w:tcPr>
          <w:p w:rsidR="00F20286" w:rsidRPr="00F20286" w:rsidRDefault="00F20286" w:rsidP="006F0EB0">
            <w:r w:rsidRPr="00F20286">
              <w:rPr>
                <w:bCs/>
                <w:lang w:eastAsia="lv-LV"/>
              </w:rPr>
              <w:t>SIA „NCS LV”, reģistrācijas Nr.40103551993</w:t>
            </w:r>
          </w:p>
        </w:tc>
      </w:tr>
      <w:tr w:rsidR="00F20286" w:rsidRPr="000B6E5A" w:rsidTr="006F0EB0">
        <w:tc>
          <w:tcPr>
            <w:tcW w:w="6096" w:type="dxa"/>
            <w:vMerge w:val="restart"/>
          </w:tcPr>
          <w:p w:rsidR="00F20286" w:rsidRPr="003A45A8" w:rsidRDefault="00F20286" w:rsidP="006F0EB0">
            <w:r w:rsidRPr="003A45A8">
              <w:rPr>
                <w:b/>
              </w:rPr>
              <w:t>Līgumcena</w:t>
            </w:r>
            <w:r w:rsidRPr="003A45A8">
              <w:t xml:space="preserve"> (visu pakalpojumu kopēj</w:t>
            </w:r>
            <w:r>
              <w:t>ā</w:t>
            </w:r>
            <w:r w:rsidRPr="003A45A8">
              <w:t xml:space="preserve"> cena par visu noteikto sistēmu apkop</w:t>
            </w:r>
            <w:r>
              <w:t>i visā līguma darbības laikā – 12</w:t>
            </w:r>
            <w:r w:rsidRPr="003A45A8">
              <w:t xml:space="preserve"> mēneši), </w:t>
            </w:r>
            <w:r w:rsidRPr="003A45A8">
              <w:rPr>
                <w:b/>
              </w:rPr>
              <w:t xml:space="preserve">EUR bez </w:t>
            </w:r>
            <w:r>
              <w:rPr>
                <w:b/>
              </w:rPr>
              <w:t>PVN</w:t>
            </w:r>
            <w:r w:rsidRPr="003A45A8">
              <w:t xml:space="preserve"> </w:t>
            </w:r>
            <w:r w:rsidRPr="003A45A8">
              <w:rPr>
                <w:b/>
              </w:rPr>
              <w:t>(vērtēšanas kritērijs)</w:t>
            </w:r>
          </w:p>
        </w:tc>
        <w:tc>
          <w:tcPr>
            <w:tcW w:w="1879" w:type="dxa"/>
          </w:tcPr>
          <w:p w:rsidR="00F20286" w:rsidRPr="003A45A8" w:rsidRDefault="00F20286" w:rsidP="006F0EB0">
            <w:r w:rsidRPr="003A45A8">
              <w:t>Cena bez PVN</w:t>
            </w:r>
          </w:p>
        </w:tc>
        <w:tc>
          <w:tcPr>
            <w:tcW w:w="1879" w:type="dxa"/>
          </w:tcPr>
          <w:p w:rsidR="00F20286" w:rsidRPr="003A45A8" w:rsidRDefault="00F20286" w:rsidP="006F0EB0">
            <w:r w:rsidRPr="003A45A8">
              <w:t>Cena ar PVN</w:t>
            </w:r>
          </w:p>
          <w:p w:rsidR="00F20286" w:rsidRPr="003A45A8" w:rsidRDefault="00F20286" w:rsidP="006F0EB0">
            <w:r w:rsidRPr="003A45A8">
              <w:t>(informācijai)</w:t>
            </w:r>
          </w:p>
        </w:tc>
      </w:tr>
      <w:tr w:rsidR="00F20286" w:rsidRPr="000B6E5A" w:rsidTr="006F0EB0">
        <w:tc>
          <w:tcPr>
            <w:tcW w:w="6096" w:type="dxa"/>
            <w:vMerge/>
          </w:tcPr>
          <w:p w:rsidR="00F20286" w:rsidRPr="003A45A8" w:rsidRDefault="00F20286" w:rsidP="006F0EB0"/>
        </w:tc>
        <w:tc>
          <w:tcPr>
            <w:tcW w:w="1879" w:type="dxa"/>
            <w:vAlign w:val="center"/>
          </w:tcPr>
          <w:p w:rsidR="00F20286" w:rsidRPr="003A45A8" w:rsidRDefault="00F20286" w:rsidP="006F0EB0">
            <w:pPr>
              <w:jc w:val="center"/>
              <w:rPr>
                <w:b/>
              </w:rPr>
            </w:pPr>
            <w:r>
              <w:rPr>
                <w:b/>
              </w:rPr>
              <w:t>4699,20</w:t>
            </w:r>
          </w:p>
        </w:tc>
        <w:tc>
          <w:tcPr>
            <w:tcW w:w="1879" w:type="dxa"/>
            <w:vAlign w:val="center"/>
          </w:tcPr>
          <w:p w:rsidR="00F20286" w:rsidRPr="003A45A8" w:rsidRDefault="00F20286" w:rsidP="006F0EB0">
            <w:pPr>
              <w:jc w:val="center"/>
            </w:pPr>
            <w:r>
              <w:t>5686,03</w:t>
            </w:r>
          </w:p>
        </w:tc>
      </w:tr>
    </w:tbl>
    <w:p w:rsidR="00F20286" w:rsidRDefault="00F20286" w:rsidP="005E77C4">
      <w:pPr>
        <w:spacing w:before="120"/>
        <w:ind w:right="49"/>
        <w:jc w:val="both"/>
        <w:rPr>
          <w:b/>
        </w:rPr>
      </w:pPr>
    </w:p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F20286" w:rsidRDefault="00F20286" w:rsidP="005D408C">
      <w:pPr>
        <w:ind w:right="49" w:firstLine="709"/>
        <w:jc w:val="both"/>
      </w:pPr>
      <w:r>
        <w:t xml:space="preserve">Atbilstoši informatīvā paziņojuma nosacījumiem, pretendentiem ir jāiesniedz apkopes darbu apraksts un grafiks. </w:t>
      </w:r>
      <w:r w:rsidR="002A4FDD" w:rsidRPr="00AE2B74">
        <w:t>Ņemot vērā</w:t>
      </w:r>
      <w:r>
        <w:t xml:space="preserve"> to</w:t>
      </w:r>
      <w:r w:rsidR="00AA7245" w:rsidRPr="00AE2B74">
        <w:t xml:space="preserve">, ka </w:t>
      </w:r>
      <w:r w:rsidR="00D77234">
        <w:t>p</w:t>
      </w:r>
      <w:r>
        <w:t xml:space="preserve">retendentu iesniegtie apkopes darbu apraksti ir atšķirīgi (piedāvāto darbu apjoma ziņā) </w:t>
      </w:r>
      <w:r w:rsidR="00C3735E">
        <w:t xml:space="preserve">un </w:t>
      </w:r>
      <w:r>
        <w:t>nav iespējams izvērtēt</w:t>
      </w:r>
      <w:r w:rsidR="008B4293">
        <w:t xml:space="preserve"> vai iesniegtajos piedāvājumos iekļautie darbi nodrošinās kvalitatīvu un pilnā apjomā iepirkuma priekšmeta izpildi, </w:t>
      </w:r>
      <w:r w:rsidR="00055950">
        <w:t xml:space="preserve">un lai neradītu nepamatotus ierobežojumus konkurencei iepirkumā un nodrošinātu vienlīdzīgu un taisnīgu attieksmi pret visiem pretendentiem, </w:t>
      </w:r>
      <w:r w:rsidR="008B4293">
        <w:t>iepirkums tiek pārtraukts</w:t>
      </w:r>
      <w:r w:rsidR="00BD2D6A">
        <w:t xml:space="preserve"> un tiks izsludināts no jauna</w:t>
      </w:r>
      <w:r w:rsidR="008B4293">
        <w:t>.</w:t>
      </w:r>
    </w:p>
    <w:p w:rsidR="00F20286" w:rsidRDefault="002A4FDD" w:rsidP="008B4293">
      <w:pPr>
        <w:ind w:right="49" w:firstLine="709"/>
        <w:jc w:val="both"/>
      </w:pPr>
      <w:r w:rsidRPr="00AE2B74">
        <w:t xml:space="preserve"> 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F20286" w:rsidP="008718ED">
      <w:pPr>
        <w:tabs>
          <w:tab w:val="right" w:pos="10064"/>
        </w:tabs>
        <w:jc w:val="right"/>
      </w:pPr>
      <w:r>
        <w:t xml:space="preserve">vadītāja </w:t>
      </w:r>
      <w:proofErr w:type="spellStart"/>
      <w:r>
        <w:t>p.i</w:t>
      </w:r>
      <w:proofErr w:type="spellEnd"/>
      <w:r>
        <w:t>.</w:t>
      </w:r>
      <w:r w:rsidR="008718ED">
        <w:t xml:space="preserve"> kapteine</w:t>
      </w:r>
      <w:r w:rsidR="008718ED" w:rsidRPr="008718ED">
        <w:tab/>
      </w:r>
      <w:proofErr w:type="spellStart"/>
      <w:r w:rsidR="008718ED">
        <w:t>V.Vietniece</w:t>
      </w:r>
      <w:proofErr w:type="spellEnd"/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B25" w:rsidRDefault="00B84B25" w:rsidP="00EF0324">
      <w:r>
        <w:separator/>
      </w:r>
    </w:p>
  </w:endnote>
  <w:endnote w:type="continuationSeparator" w:id="0">
    <w:p w:rsidR="00B84B25" w:rsidRDefault="00B84B25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B84B25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B25" w:rsidRDefault="00B84B25" w:rsidP="00EF0324">
      <w:r>
        <w:separator/>
      </w:r>
    </w:p>
  </w:footnote>
  <w:footnote w:type="continuationSeparator" w:id="0">
    <w:p w:rsidR="00B84B25" w:rsidRDefault="00B84B25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BD2D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55950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364C3"/>
    <w:rsid w:val="00646C2A"/>
    <w:rsid w:val="00655EDD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B4293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A5DCA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84B25"/>
    <w:rsid w:val="00B92440"/>
    <w:rsid w:val="00BB63CE"/>
    <w:rsid w:val="00BC10F1"/>
    <w:rsid w:val="00BC1769"/>
    <w:rsid w:val="00BD2D6A"/>
    <w:rsid w:val="00BD5DDC"/>
    <w:rsid w:val="00C019E0"/>
    <w:rsid w:val="00C31599"/>
    <w:rsid w:val="00C352CA"/>
    <w:rsid w:val="00C3735E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20286"/>
    <w:rsid w:val="00F41F7D"/>
    <w:rsid w:val="00F55F0E"/>
    <w:rsid w:val="00F5638C"/>
    <w:rsid w:val="00F648AD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1819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5</cp:revision>
  <cp:lastPrinted>2017-07-26T06:16:00Z</cp:lastPrinted>
  <dcterms:created xsi:type="dcterms:W3CDTF">2017-07-25T13:26:00Z</dcterms:created>
  <dcterms:modified xsi:type="dcterms:W3CDTF">2017-07-26T06:17:00Z</dcterms:modified>
</cp:coreProperties>
</file>