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912502" w:rsidP="00791EC2">
      <w:pPr>
        <w:pStyle w:val="NoSpacing"/>
        <w:jc w:val="center"/>
        <w:rPr>
          <w:rFonts w:ascii="Times New Roman" w:hAnsi="Times New Roman"/>
          <w:b/>
          <w:sz w:val="24"/>
          <w:szCs w:val="24"/>
        </w:rPr>
      </w:pPr>
      <w:r>
        <w:rPr>
          <w:rFonts w:ascii="Times New Roman" w:hAnsi="Times New Roman"/>
          <w:b/>
          <w:sz w:val="24"/>
          <w:szCs w:val="24"/>
        </w:rPr>
        <w:t>"</w:t>
      </w:r>
      <w:r w:rsidRPr="00912502">
        <w:rPr>
          <w:rFonts w:ascii="Times New Roman" w:hAnsi="Times New Roman"/>
          <w:b/>
          <w:sz w:val="24"/>
          <w:szCs w:val="24"/>
        </w:rPr>
        <w:t>Dārzeņu iegāde ar piegādi Liepājas cietumam piemērojot zaļā publiskā iepirkuma kritērijus</w:t>
      </w:r>
      <w:r>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912502">
        <w:rPr>
          <w:rFonts w:ascii="Times New Roman" w:hAnsi="Times New Roman"/>
          <w:sz w:val="24"/>
          <w:szCs w:val="24"/>
        </w:rPr>
        <w:t>7/6</w:t>
      </w:r>
      <w:r w:rsidR="00251A89">
        <w:rPr>
          <w:rFonts w:ascii="Times New Roman" w:hAnsi="Times New Roman"/>
          <w:sz w:val="24"/>
          <w:szCs w:val="24"/>
        </w:rPr>
        <w:t>1</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id" w:val="-1"/>
          <w:attr w:name="baseform" w:val="protokols"/>
          <w:attr w:name="text" w:val="protokols"/>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912502">
        <w:rPr>
          <w:rFonts w:ascii="Times New Roman" w:hAnsi="Times New Roman"/>
          <w:sz w:val="24"/>
          <w:szCs w:val="24"/>
        </w:rPr>
        <w:t>7/6</w:t>
      </w:r>
      <w:r w:rsidR="00251A89">
        <w:rPr>
          <w:rFonts w:ascii="Times New Roman" w:hAnsi="Times New Roman"/>
          <w:sz w:val="24"/>
          <w:szCs w:val="24"/>
        </w:rPr>
        <w:t>1</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95624A">
        <w:rPr>
          <w:rFonts w:ascii="Times New Roman" w:hAnsi="Times New Roman"/>
          <w:sz w:val="24"/>
          <w:szCs w:val="24"/>
        </w:rPr>
        <w:t>22</w:t>
      </w:r>
      <w:r w:rsidR="00912502">
        <w:rPr>
          <w:rFonts w:ascii="Times New Roman" w:hAnsi="Times New Roman"/>
          <w:sz w:val="24"/>
          <w:szCs w:val="24"/>
        </w:rPr>
        <w:t>. august</w:t>
      </w:r>
      <w:r w:rsidR="007A63A2">
        <w:rPr>
          <w:rFonts w:ascii="Times New Roman" w:hAnsi="Times New Roman"/>
          <w:sz w:val="24"/>
          <w:szCs w:val="24"/>
        </w:rPr>
        <w:t>ā</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xml:space="preserve"> gada </w:t>
      </w:r>
      <w:r w:rsidR="00912502">
        <w:rPr>
          <w:rFonts w:ascii="Times New Roman" w:hAnsi="Times New Roman"/>
          <w:sz w:val="24"/>
          <w:szCs w:val="24"/>
        </w:rPr>
        <w:t>24. maija rīkojumu Nr. 117 "</w:t>
      </w:r>
      <w:r w:rsidR="00912502" w:rsidRPr="000F4EBB">
        <w:rPr>
          <w:rFonts w:ascii="Times New Roman" w:hAnsi="Times New Roman"/>
          <w:sz w:val="24"/>
          <w:szCs w:val="24"/>
        </w:rPr>
        <w:t xml:space="preserve">Par </w:t>
      </w:r>
      <w:r w:rsidR="00912502">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912502">
        <w:rPr>
          <w:rFonts w:ascii="Times New Roman" w:hAnsi="Times New Roman"/>
          <w:sz w:val="24"/>
          <w:szCs w:val="24"/>
        </w:rPr>
        <w:t>"</w:t>
      </w:r>
      <w:r w:rsidR="00912502" w:rsidRPr="00912502">
        <w:rPr>
          <w:rFonts w:ascii="Times New Roman" w:hAnsi="Times New Roman"/>
          <w:sz w:val="24"/>
          <w:szCs w:val="24"/>
        </w:rPr>
        <w:t>Dārzeņu iegāde ar piegādi Liepājas cietumam piemērojot zaļā publiskā iepirkuma kritērijus</w:t>
      </w:r>
      <w:r w:rsidR="00912502">
        <w:rPr>
          <w:rFonts w:ascii="Times New Roman" w:hAnsi="Times New Roman"/>
          <w:sz w:val="24"/>
        </w:rPr>
        <w:t>"</w:t>
      </w:r>
      <w:r w:rsidR="00742F2D">
        <w:rPr>
          <w:rFonts w:ascii="Times New Roman" w:hAnsi="Times New Roman"/>
          <w:sz w:val="24"/>
        </w:rPr>
        <w:t xml:space="preserve"> (i</w:t>
      </w:r>
      <w:r w:rsidR="00895D5E">
        <w:rPr>
          <w:rFonts w:ascii="Times New Roman" w:hAnsi="Times New Roman"/>
          <w:sz w:val="24"/>
        </w:rPr>
        <w:t>dentifikācijas Nr. IeVP 201</w:t>
      </w:r>
      <w:r w:rsidR="00912502">
        <w:rPr>
          <w:rFonts w:ascii="Times New Roman" w:hAnsi="Times New Roman"/>
          <w:sz w:val="24"/>
        </w:rPr>
        <w:t>7/6</w:t>
      </w:r>
      <w:r w:rsidR="007A63A2">
        <w:rPr>
          <w:rFonts w:ascii="Times New Roman" w:hAnsi="Times New Roman"/>
          <w:sz w:val="24"/>
        </w:rPr>
        <w:t>1</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95624A">
        <w:rPr>
          <w:rFonts w:ascii="Times New Roman" w:eastAsia="Times New Roman" w:hAnsi="Times New Roman"/>
          <w:noProof w:val="0"/>
          <w:sz w:val="24"/>
          <w:szCs w:val="24"/>
        </w:rPr>
        <w:t>15.40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912502" w:rsidRDefault="00912502" w:rsidP="00912502">
      <w:pPr>
        <w:pStyle w:val="NoSpacing"/>
        <w:ind w:right="-1"/>
        <w:jc w:val="both"/>
        <w:rPr>
          <w:rFonts w:ascii="Times New Roman" w:hAnsi="Times New Roman"/>
          <w:sz w:val="24"/>
          <w:szCs w:val="24"/>
        </w:rPr>
      </w:pPr>
      <w:r w:rsidRPr="00912502">
        <w:rPr>
          <w:rFonts w:ascii="Times New Roman" w:hAnsi="Times New Roman"/>
          <w:sz w:val="24"/>
          <w:szCs w:val="24"/>
        </w:rPr>
        <w:t>Pārvaldes centrālā aparāta Grāmatvedības daļas informācijas uzskaites galvenā speciāliste virsleitnante Jūlija Baranova</w:t>
      </w:r>
    </w:p>
    <w:p w:rsidR="00DD0C89" w:rsidRDefault="00912502" w:rsidP="00912502">
      <w:pPr>
        <w:pStyle w:val="NoSpacing"/>
        <w:ind w:right="-1"/>
        <w:jc w:val="both"/>
        <w:rPr>
          <w:rFonts w:ascii="Times New Roman" w:hAnsi="Times New Roman"/>
          <w:sz w:val="24"/>
          <w:szCs w:val="24"/>
        </w:rPr>
      </w:pPr>
      <w:r w:rsidRPr="00912502">
        <w:rPr>
          <w:rFonts w:ascii="Times New Roman" w:hAnsi="Times New Roman"/>
          <w:sz w:val="24"/>
          <w:szCs w:val="24"/>
        </w:rPr>
        <w:t>Pārvaldes centrālā aparāta Nodrošinājuma daļas ugunsdrošības un civilās aizsardzības tehniķis Gints Bogdanovs</w:t>
      </w:r>
      <w:r w:rsidR="00957D9D">
        <w:rPr>
          <w:rFonts w:ascii="Times New Roman" w:hAnsi="Times New Roman"/>
          <w:sz w:val="24"/>
          <w:szCs w:val="24"/>
          <w:lang w:val="de-DE"/>
        </w:rPr>
        <w:t>.</w:t>
      </w:r>
      <w:r w:rsidR="00DD0C89" w:rsidRPr="0018770B">
        <w:rPr>
          <w:rFonts w:ascii="Times New Roman" w:hAnsi="Times New Roman"/>
          <w:sz w:val="24"/>
          <w:szCs w:val="24"/>
        </w:rPr>
        <w:t xml:space="preserve"> </w:t>
      </w:r>
    </w:p>
    <w:p w:rsidR="00957D9D" w:rsidRDefault="00957D9D" w:rsidP="00D13473">
      <w:pPr>
        <w:spacing w:after="0" w:line="240" w:lineRule="auto"/>
        <w:ind w:right="42"/>
        <w:jc w:val="both"/>
        <w:rPr>
          <w:rFonts w:ascii="Times New Roman" w:hAnsi="Times New Roman"/>
          <w:b/>
          <w:noProof w:val="0"/>
          <w:sz w:val="24"/>
          <w:szCs w:val="24"/>
          <w:u w:val="single"/>
          <w:lang w:val="de-DE"/>
        </w:rPr>
      </w:pPr>
    </w:p>
    <w:p w:rsidR="00D13473" w:rsidRPr="00D03843" w:rsidRDefault="00D13473" w:rsidP="00D13473">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D13473" w:rsidRPr="00D03843" w:rsidRDefault="00D13473" w:rsidP="00D13473">
      <w:pPr>
        <w:spacing w:after="0" w:line="240" w:lineRule="auto"/>
        <w:ind w:right="42"/>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 galvenā speciāliste kapteine Vineta Vietniece</w:t>
      </w:r>
      <w:r w:rsidRPr="00D03843">
        <w:rPr>
          <w:rFonts w:ascii="Times New Roman" w:hAnsi="Times New Roman"/>
          <w:noProof w:val="0"/>
          <w:sz w:val="24"/>
          <w:szCs w:val="24"/>
          <w:lang w:val="de-DE"/>
        </w:rPr>
        <w:t>.</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7A4646" w:rsidP="00352323">
      <w:pPr>
        <w:pStyle w:val="NoSpacing"/>
        <w:jc w:val="both"/>
      </w:pPr>
      <w:r>
        <w:rPr>
          <w:rFonts w:ascii="Times New Roman" w:hAnsi="Times New Roman"/>
          <w:sz w:val="24"/>
          <w:szCs w:val="24"/>
        </w:rPr>
        <w:t>"</w:t>
      </w:r>
      <w:r w:rsidR="00CE51D6" w:rsidRPr="00CE51D6">
        <w:rPr>
          <w:rFonts w:ascii="Times New Roman" w:hAnsi="Times New Roman"/>
          <w:sz w:val="24"/>
          <w:szCs w:val="24"/>
          <w:lang w:val="de-DE"/>
        </w:rPr>
        <w:t>Dārzeņu iegāde ar piegādi Liepājas cietumam 2017. gada trešajā ceturksnī ieslodzīto uztura vajadzībām</w:t>
      </w:r>
      <w:r w:rsidR="00171A05" w:rsidRPr="00171A05">
        <w:rPr>
          <w:rFonts w:ascii="Times New Roman" w:hAnsi="Times New Roman"/>
          <w:sz w:val="24"/>
          <w:szCs w:val="24"/>
        </w:rPr>
        <w:t>.</w:t>
      </w:r>
      <w:r>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7A4646" w:rsidRPr="007A4646" w:rsidRDefault="007A4646" w:rsidP="007A4646">
      <w:pPr>
        <w:pStyle w:val="NoSpacing"/>
        <w:jc w:val="both"/>
        <w:rPr>
          <w:rFonts w:ascii="Times New Roman" w:hAnsi="Times New Roman"/>
          <w:sz w:val="24"/>
          <w:szCs w:val="24"/>
        </w:rPr>
      </w:pPr>
      <w:r>
        <w:rPr>
          <w:rFonts w:ascii="Times New Roman" w:hAnsi="Times New Roman"/>
          <w:b/>
          <w:sz w:val="24"/>
          <w:szCs w:val="24"/>
        </w:rPr>
        <w:t>"</w:t>
      </w:r>
      <w:r w:rsidRPr="007A4646">
        <w:rPr>
          <w:rFonts w:ascii="Times New Roman" w:hAnsi="Times New Roman"/>
          <w:b/>
          <w:sz w:val="24"/>
          <w:szCs w:val="24"/>
        </w:rPr>
        <w:t>7.1.</w:t>
      </w:r>
      <w:r w:rsidRPr="007A4646">
        <w:rPr>
          <w:rFonts w:ascii="Times New Roman" w:hAnsi="Times New Roman"/>
          <w:sz w:val="24"/>
          <w:szCs w:val="24"/>
        </w:rPr>
        <w:t> Piedāvājumu vērtēšana un salīdzināšana notiek saskaņā ar Nolikuma 7.2. - 7.6. apakšpunktā noteiktajiem saimnieciski visizdevīgākā Tehniskai specifikācijai atbilstošā piedāvājuma noteikšanas kritērijiem. Piedāvājumu vērtēšana un salīdzināšana notiek katrā Iepirkuma daļā atsevišķi.</w:t>
      </w:r>
    </w:p>
    <w:p w:rsidR="007A4646" w:rsidRPr="007A4646" w:rsidRDefault="007A4646" w:rsidP="007A4646">
      <w:pPr>
        <w:pStyle w:val="NoSpacing"/>
        <w:jc w:val="both"/>
        <w:rPr>
          <w:rFonts w:ascii="Times New Roman" w:hAnsi="Times New Roman"/>
          <w:sz w:val="24"/>
          <w:szCs w:val="24"/>
        </w:rPr>
      </w:pPr>
      <w:r w:rsidRPr="007A4646">
        <w:rPr>
          <w:rFonts w:ascii="Times New Roman" w:hAnsi="Times New Roman"/>
          <w:b/>
          <w:sz w:val="24"/>
          <w:szCs w:val="24"/>
        </w:rPr>
        <w:t>7.2.</w:t>
      </w:r>
      <w:r w:rsidRPr="007A4646">
        <w:rPr>
          <w:rFonts w:ascii="Times New Roman" w:hAnsi="Times New Roman"/>
          <w:sz w:val="24"/>
          <w:szCs w:val="24"/>
        </w:rPr>
        <w:t> Pirmais vērtēšanas kritērijs „Preces viszemākā nosacītā līgumcena”. Nosacīto līgumcenu veido Iepirkumā norādīto Preču cena par vienu vienību, iekļaujot nodokļus un izdevumus (t.sk. ar piegādi saistītos izdevumus līdz ieslodzījuma vietām u.c.), bez pievienotās vērtības nodokļa (turpmāk – PVN), kas reizināta ar Tehniskajā specifikācijā norādīto aptuveno nepieciešamo atbilstošo Preču daudzumu.</w:t>
      </w:r>
    </w:p>
    <w:p w:rsidR="007A4646" w:rsidRPr="007A4646" w:rsidRDefault="007A4646" w:rsidP="007A4646">
      <w:pPr>
        <w:pStyle w:val="NoSpacing"/>
        <w:jc w:val="both"/>
        <w:rPr>
          <w:rFonts w:ascii="Times New Roman" w:hAnsi="Times New Roman"/>
          <w:sz w:val="24"/>
          <w:szCs w:val="24"/>
        </w:rPr>
      </w:pPr>
      <w:r w:rsidRPr="007A4646">
        <w:rPr>
          <w:rFonts w:ascii="Times New Roman" w:hAnsi="Times New Roman"/>
          <w:b/>
          <w:sz w:val="24"/>
          <w:szCs w:val="24"/>
        </w:rPr>
        <w:t>7.3.</w:t>
      </w:r>
      <w:r w:rsidRPr="007A4646">
        <w:rPr>
          <w:rFonts w:ascii="Times New Roman" w:hAnsi="Times New Roman"/>
          <w:sz w:val="24"/>
          <w:szCs w:val="24"/>
        </w:rPr>
        <w:t> Otrais vērtēšanas kritērijs „Preču daudzums, kas atbilst bioloģiskās lauksaimniecības vai lauksaimniecības produktu integrētās audzēšanas prasībām”.</w:t>
      </w:r>
    </w:p>
    <w:p w:rsidR="007A4646" w:rsidRPr="007A4646" w:rsidRDefault="007A4646" w:rsidP="007A4646">
      <w:pPr>
        <w:pStyle w:val="NoSpacing"/>
        <w:jc w:val="both"/>
        <w:rPr>
          <w:rFonts w:ascii="Times New Roman" w:hAnsi="Times New Roman"/>
          <w:sz w:val="24"/>
          <w:szCs w:val="24"/>
        </w:rPr>
      </w:pPr>
      <w:r w:rsidRPr="007A4646">
        <w:rPr>
          <w:rFonts w:ascii="Times New Roman" w:hAnsi="Times New Roman"/>
          <w:b/>
          <w:sz w:val="24"/>
          <w:szCs w:val="24"/>
        </w:rPr>
        <w:t>7.4.</w:t>
      </w:r>
      <w:r w:rsidRPr="007A4646">
        <w:rPr>
          <w:rFonts w:ascii="Times New Roman" w:hAnsi="Times New Roman"/>
          <w:sz w:val="24"/>
          <w:szCs w:val="24"/>
        </w:rPr>
        <w:t> Trešais vērtēšanas kritērijs „Preču īpatsvars (daudzums), kuri tiek piegādāti atkārtoti izmantojamā primārajā iepakojumā”.</w:t>
      </w:r>
    </w:p>
    <w:p w:rsidR="007A4646" w:rsidRPr="007A4646" w:rsidRDefault="007A4646" w:rsidP="007A4646">
      <w:pPr>
        <w:pStyle w:val="NoSpacing"/>
        <w:jc w:val="both"/>
        <w:rPr>
          <w:rFonts w:ascii="Times New Roman" w:hAnsi="Times New Roman"/>
          <w:sz w:val="24"/>
          <w:szCs w:val="24"/>
        </w:rPr>
      </w:pPr>
      <w:r w:rsidRPr="007A4646">
        <w:rPr>
          <w:rFonts w:ascii="Times New Roman" w:hAnsi="Times New Roman"/>
          <w:b/>
          <w:sz w:val="24"/>
          <w:szCs w:val="24"/>
        </w:rPr>
        <w:t>7.5.</w:t>
      </w:r>
      <w:r w:rsidRPr="007A4646">
        <w:rPr>
          <w:rFonts w:ascii="Times New Roman" w:hAnsi="Times New Roman"/>
          <w:sz w:val="24"/>
          <w:szCs w:val="24"/>
        </w:rPr>
        <w:t> Ceturtais vērtēšanas kritērijs „Preču daudzums, kas tiek piegādāts izmantojot autotransportu ar oglekļa dioksīda emisijas un piesārņotāju – slāpekļa oksīdu, metānu nesaturošo ogļūdeņražu un cieto daļiņu daudzumu kas nepārsniedz EURO 5 standartus”. 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Autotransporta valsts reģistrācijas numuri, kas atbilst EURO 5 standartiem, tiks iekļauti piegādes līgumā.</w:t>
      </w:r>
    </w:p>
    <w:p w:rsidR="007A4646" w:rsidRPr="007A4646" w:rsidRDefault="007A4646" w:rsidP="007A4646">
      <w:pPr>
        <w:pStyle w:val="NoSpacing"/>
        <w:spacing w:after="120"/>
        <w:jc w:val="both"/>
        <w:rPr>
          <w:rFonts w:ascii="Times New Roman" w:hAnsi="Times New Roman"/>
          <w:sz w:val="24"/>
          <w:szCs w:val="24"/>
        </w:rPr>
      </w:pPr>
      <w:r w:rsidRPr="007A4646">
        <w:rPr>
          <w:rFonts w:ascii="Times New Roman" w:hAnsi="Times New Roman"/>
          <w:b/>
          <w:sz w:val="24"/>
          <w:szCs w:val="24"/>
        </w:rPr>
        <w:t>7.6.</w:t>
      </w:r>
      <w:r w:rsidRPr="007A4646">
        <w:rPr>
          <w:rFonts w:ascii="Times New Roman" w:hAnsi="Times New Roman"/>
          <w:sz w:val="24"/>
          <w:szCs w:val="24"/>
        </w:rPr>
        <w:t> Saimnieciski visizdevīgākā piedāvājuma izvēles kritēriji un to skaitliskās vērtības: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5203"/>
        <w:gridCol w:w="2977"/>
      </w:tblGrid>
      <w:tr w:rsidR="007A4646" w:rsidRPr="007A4646" w:rsidTr="007A4646">
        <w:tc>
          <w:tcPr>
            <w:tcW w:w="1176" w:type="dxa"/>
            <w:tcBorders>
              <w:bottom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Nr.</w:t>
            </w:r>
          </w:p>
          <w:p w:rsidR="007A4646" w:rsidRPr="007A4646" w:rsidRDefault="007A4646" w:rsidP="007A4646">
            <w:pPr>
              <w:pStyle w:val="NoSpacing"/>
              <w:jc w:val="center"/>
              <w:rPr>
                <w:rFonts w:ascii="Times New Roman" w:hAnsi="Times New Roman"/>
              </w:rPr>
            </w:pPr>
            <w:r w:rsidRPr="007A4646">
              <w:rPr>
                <w:rFonts w:ascii="Times New Roman" w:hAnsi="Times New Roman"/>
              </w:rPr>
              <w:t>p.k.</w:t>
            </w:r>
          </w:p>
        </w:tc>
        <w:tc>
          <w:tcPr>
            <w:tcW w:w="5203" w:type="dxa"/>
            <w:tcBorders>
              <w:bottom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Vērtēšanas kritēriji</w:t>
            </w:r>
          </w:p>
        </w:tc>
        <w:tc>
          <w:tcPr>
            <w:tcW w:w="2977" w:type="dxa"/>
            <w:tcBorders>
              <w:bottom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Īpatsvars vērtēšanā (punktu skaits)</w:t>
            </w:r>
          </w:p>
        </w:tc>
      </w:tr>
      <w:tr w:rsidR="007A4646" w:rsidRPr="007A4646" w:rsidTr="007A4646">
        <w:tc>
          <w:tcPr>
            <w:tcW w:w="1176" w:type="dxa"/>
            <w:tcBorders>
              <w:bottom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1.</w:t>
            </w:r>
          </w:p>
        </w:tc>
        <w:tc>
          <w:tcPr>
            <w:tcW w:w="5203" w:type="dxa"/>
            <w:tcBorders>
              <w:bottom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Preces viszemākā nosacītā līgumcena</w:t>
            </w:r>
          </w:p>
        </w:tc>
        <w:tc>
          <w:tcPr>
            <w:tcW w:w="2977" w:type="dxa"/>
            <w:tcBorders>
              <w:bottom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50 punkti</w:t>
            </w:r>
          </w:p>
        </w:tc>
      </w:tr>
      <w:tr w:rsidR="007A4646" w:rsidRPr="007A4646" w:rsidTr="007A4646">
        <w:tc>
          <w:tcPr>
            <w:tcW w:w="1176" w:type="dxa"/>
            <w:tcBorders>
              <w:top w:val="single" w:sz="4" w:space="0" w:color="auto"/>
              <w:left w:val="single" w:sz="4" w:space="0" w:color="auto"/>
              <w:bottom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2.</w:t>
            </w:r>
          </w:p>
        </w:tc>
        <w:tc>
          <w:tcPr>
            <w:tcW w:w="5203" w:type="dxa"/>
            <w:tcBorders>
              <w:top w:val="single" w:sz="4" w:space="0" w:color="auto"/>
              <w:bottom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Preču daudzums, kas atbilst bioloģiskās lauksaimniecības, nacionālās pārtikas kvalitātes shēmas vai lauksaimniecības produktu integrētās audzēšanas prasībām</w:t>
            </w:r>
          </w:p>
        </w:tc>
        <w:tc>
          <w:tcPr>
            <w:tcW w:w="2977" w:type="dxa"/>
            <w:tcBorders>
              <w:top w:val="single" w:sz="4" w:space="0" w:color="auto"/>
              <w:bottom w:val="single" w:sz="4" w:space="0" w:color="auto"/>
              <w:right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20 punkti</w:t>
            </w:r>
          </w:p>
        </w:tc>
      </w:tr>
      <w:tr w:rsidR="007A4646" w:rsidRPr="007A4646" w:rsidTr="007A4646">
        <w:tc>
          <w:tcPr>
            <w:tcW w:w="1176" w:type="dxa"/>
            <w:tcBorders>
              <w:top w:val="single" w:sz="4" w:space="0" w:color="auto"/>
              <w:left w:val="single" w:sz="4" w:space="0" w:color="auto"/>
              <w:bottom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3.</w:t>
            </w:r>
          </w:p>
        </w:tc>
        <w:tc>
          <w:tcPr>
            <w:tcW w:w="5203" w:type="dxa"/>
            <w:tcBorders>
              <w:top w:val="single" w:sz="4" w:space="0" w:color="auto"/>
              <w:bottom w:val="single" w:sz="4" w:space="0" w:color="auto"/>
            </w:tcBorders>
            <w:vAlign w:val="center"/>
          </w:tcPr>
          <w:p w:rsidR="007A4646" w:rsidRPr="007A4646" w:rsidRDefault="007A4646" w:rsidP="007A4646">
            <w:pPr>
              <w:pStyle w:val="NoSpacing"/>
              <w:jc w:val="center"/>
              <w:rPr>
                <w:rFonts w:ascii="Times New Roman" w:hAnsi="Times New Roman"/>
                <w:bCs/>
              </w:rPr>
            </w:pPr>
            <w:r w:rsidRPr="007A4646">
              <w:rPr>
                <w:rFonts w:ascii="Times New Roman" w:hAnsi="Times New Roman"/>
              </w:rPr>
              <w:t xml:space="preserve">Preču īpatsvars, kuri tiek piegādāti atkārtoti izmantojamā primārajā iepakojumā </w:t>
            </w:r>
            <w:r w:rsidRPr="007A4646">
              <w:rPr>
                <w:rFonts w:ascii="Times New Roman" w:hAnsi="Times New Roman"/>
                <w:bCs/>
              </w:rPr>
              <w:t xml:space="preserve">(kuru pretendents </w:t>
            </w:r>
            <w:r w:rsidRPr="007A4646">
              <w:rPr>
                <w:rFonts w:ascii="Times New Roman" w:hAnsi="Times New Roman"/>
              </w:rPr>
              <w:t>apņemas savākt atkārtotai izmantošanai, vai pārstrādei)</w:t>
            </w:r>
          </w:p>
        </w:tc>
        <w:tc>
          <w:tcPr>
            <w:tcW w:w="2977" w:type="dxa"/>
            <w:tcBorders>
              <w:top w:val="single" w:sz="4" w:space="0" w:color="auto"/>
              <w:bottom w:val="single" w:sz="4" w:space="0" w:color="auto"/>
              <w:right w:val="single" w:sz="4" w:space="0" w:color="auto"/>
            </w:tcBorders>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15 punkti</w:t>
            </w:r>
          </w:p>
        </w:tc>
      </w:tr>
      <w:tr w:rsidR="007A4646" w:rsidRPr="007A4646" w:rsidTr="007A4646">
        <w:tc>
          <w:tcPr>
            <w:tcW w:w="1176" w:type="dxa"/>
            <w:vAlign w:val="center"/>
          </w:tcPr>
          <w:p w:rsidR="007A4646" w:rsidRPr="007A4646" w:rsidRDefault="007A4646" w:rsidP="007A4646">
            <w:pPr>
              <w:pStyle w:val="NoSpacing"/>
              <w:jc w:val="center"/>
              <w:rPr>
                <w:rFonts w:ascii="Times New Roman" w:hAnsi="Times New Roman"/>
                <w:bCs/>
              </w:rPr>
            </w:pPr>
            <w:r w:rsidRPr="007A4646">
              <w:rPr>
                <w:rFonts w:ascii="Times New Roman" w:hAnsi="Times New Roman"/>
                <w:bCs/>
              </w:rPr>
              <w:t>4.</w:t>
            </w:r>
          </w:p>
        </w:tc>
        <w:tc>
          <w:tcPr>
            <w:tcW w:w="5203" w:type="dxa"/>
            <w:vAlign w:val="center"/>
          </w:tcPr>
          <w:p w:rsidR="007A4646" w:rsidRPr="007A4646" w:rsidRDefault="007A4646" w:rsidP="007A4646">
            <w:pPr>
              <w:pStyle w:val="NoSpacing"/>
              <w:jc w:val="center"/>
              <w:rPr>
                <w:rFonts w:ascii="Times New Roman" w:hAnsi="Times New Roman"/>
                <w:bCs/>
              </w:rPr>
            </w:pPr>
            <w:r w:rsidRPr="007A4646">
              <w:rPr>
                <w:rFonts w:ascii="Times New Roman" w:hAnsi="Times New Roman"/>
                <w:bCs/>
              </w:rPr>
              <w:t xml:space="preserve">Preču daudzums, kas </w:t>
            </w:r>
            <w:r w:rsidRPr="007A4646">
              <w:rPr>
                <w:rFonts w:ascii="Times New Roman" w:hAnsi="Times New Roman"/>
              </w:rPr>
              <w:t xml:space="preserve">tiek piegādāts </w:t>
            </w:r>
            <w:r w:rsidRPr="007A4646">
              <w:rPr>
                <w:rFonts w:ascii="Times New Roman" w:hAnsi="Times New Roman"/>
                <w:bCs/>
              </w:rPr>
              <w:t>izmantojot autotransportu ar oglekļa dioksīda emisijas un piesārņotāju – slāpekļa oksīdu, metānu nesaturošo ogļūdeņražu un cieto daļiņu daudzumu kas nepārsniedz EURO 5 standartus</w:t>
            </w:r>
          </w:p>
        </w:tc>
        <w:tc>
          <w:tcPr>
            <w:tcW w:w="2977" w:type="dxa"/>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15 punkti</w:t>
            </w:r>
          </w:p>
        </w:tc>
      </w:tr>
      <w:tr w:rsidR="007A4646" w:rsidRPr="007A4646" w:rsidTr="007A4646">
        <w:tc>
          <w:tcPr>
            <w:tcW w:w="6379" w:type="dxa"/>
            <w:gridSpan w:val="2"/>
            <w:vAlign w:val="center"/>
          </w:tcPr>
          <w:p w:rsidR="007A4646" w:rsidRPr="007A4646" w:rsidRDefault="007A4646" w:rsidP="007A4646">
            <w:pPr>
              <w:pStyle w:val="NoSpacing"/>
              <w:jc w:val="center"/>
              <w:rPr>
                <w:rFonts w:ascii="Times New Roman" w:hAnsi="Times New Roman"/>
                <w:bCs/>
              </w:rPr>
            </w:pPr>
            <w:r w:rsidRPr="007A4646">
              <w:rPr>
                <w:rFonts w:ascii="Times New Roman" w:hAnsi="Times New Roman"/>
                <w:bCs/>
              </w:rPr>
              <w:t>KOPĀ:</w:t>
            </w:r>
          </w:p>
        </w:tc>
        <w:tc>
          <w:tcPr>
            <w:tcW w:w="2977" w:type="dxa"/>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100</w:t>
            </w:r>
          </w:p>
        </w:tc>
      </w:tr>
    </w:tbl>
    <w:p w:rsidR="007A4646" w:rsidRPr="000B243D" w:rsidRDefault="007A4646" w:rsidP="007A4646">
      <w:pPr>
        <w:pStyle w:val="naisf"/>
        <w:ind w:firstLine="540"/>
      </w:pPr>
      <w:r w:rsidRPr="000B243D">
        <w:t>Iepirkumu komisija piedāvājumu vērtēs atbilstoši visiem Nolikumā norādītajiem kritērijiem. Punkti tiks aprēķināti atbilstoši turpmāk norādītajam aprakstam un formulām:</w:t>
      </w:r>
    </w:p>
    <w:p w:rsidR="007A4646" w:rsidRPr="000B243D" w:rsidRDefault="007A4646" w:rsidP="007A4646">
      <w:pPr>
        <w:pStyle w:val="naisf"/>
        <w:ind w:firstLine="709"/>
        <w:rPr>
          <w:bCs/>
          <w:iCs/>
        </w:rPr>
      </w:pPr>
      <w:r w:rsidRPr="000B243D">
        <w:rPr>
          <w:b/>
        </w:rPr>
        <w:t>1.</w:t>
      </w:r>
      <w:r>
        <w:rPr>
          <w:b/>
        </w:rPr>
        <w:t> </w:t>
      </w:r>
      <w:r w:rsidRPr="000B243D">
        <w:rPr>
          <w:b/>
        </w:rPr>
        <w:t>vērtēšanas kritērijs</w:t>
      </w:r>
      <w:r w:rsidRPr="000B243D">
        <w:t xml:space="preserve"> </w:t>
      </w:r>
      <w:r>
        <w:t>–</w:t>
      </w:r>
      <w:r w:rsidRPr="000B243D">
        <w:t xml:space="preserve"> </w:t>
      </w:r>
      <w:r w:rsidRPr="00A408A2">
        <w:t>Preces viszemākā nosacīt</w:t>
      </w:r>
      <w:r>
        <w:t>ā</w:t>
      </w:r>
      <w:r w:rsidRPr="00A408A2">
        <w:t xml:space="preserve"> līgumcena</w:t>
      </w:r>
      <w:r w:rsidRPr="000B243D">
        <w:rPr>
          <w:bCs/>
          <w:iCs/>
        </w:rPr>
        <w:t xml:space="preserve"> (jāiekļauj visi paredzamie izdevumi, </w:t>
      </w:r>
      <w:r>
        <w:t>piegāde, izkraušana katra piegādes vietas noliktavā</w:t>
      </w:r>
      <w:r w:rsidRPr="000B243D">
        <w:rPr>
          <w:bCs/>
          <w:iCs/>
        </w:rPr>
        <w:t>,</w:t>
      </w:r>
      <w:r>
        <w:rPr>
          <w:bCs/>
          <w:iCs/>
        </w:rPr>
        <w:t xml:space="preserve"> nodevas un nodokļi</w:t>
      </w:r>
      <w:r w:rsidRPr="000B243D">
        <w:rPr>
          <w:bCs/>
          <w:iCs/>
        </w:rPr>
        <w:t xml:space="preserve"> izņemot PVN)</w:t>
      </w:r>
      <w:r w:rsidRPr="000B243D">
        <w:rPr>
          <w:bCs/>
        </w:rPr>
        <w:t>.</w:t>
      </w:r>
    </w:p>
    <w:p w:rsidR="007A4646" w:rsidRPr="000B243D" w:rsidRDefault="007A4646" w:rsidP="007A4646">
      <w:pPr>
        <w:pStyle w:val="naisf"/>
        <w:ind w:firstLine="709"/>
      </w:pPr>
      <w:r w:rsidRPr="000B243D">
        <w:t xml:space="preserve">Piedāvājums ar viszemāko </w:t>
      </w:r>
      <w:r w:rsidRPr="00A408A2">
        <w:t>nosacīt</w:t>
      </w:r>
      <w:r>
        <w:t>o</w:t>
      </w:r>
      <w:r w:rsidRPr="00A408A2">
        <w:t xml:space="preserve"> </w:t>
      </w:r>
      <w:r>
        <w:t>līgum</w:t>
      </w:r>
      <w:r w:rsidRPr="000B243D">
        <w:t xml:space="preserve">cenu tiks vērtēts ar maksimāli iespējamo punktu skaitu – </w:t>
      </w:r>
      <w:r>
        <w:t>50</w:t>
      </w:r>
      <w:r w:rsidRPr="000B243D">
        <w:t>. Pārējie piedāvājuma cenu punkti tiks aprēķināti, pielietojot formulu</w:t>
      </w:r>
      <w:r>
        <w:t xml:space="preserve"> 50</w:t>
      </w:r>
      <w:r w:rsidRPr="000B243D">
        <w:t xml:space="preserve"> x (A / B) = C, kur:</w:t>
      </w:r>
    </w:p>
    <w:p w:rsidR="007A4646" w:rsidRPr="000B243D" w:rsidRDefault="007A4646" w:rsidP="007A4646">
      <w:pPr>
        <w:pStyle w:val="naisf"/>
        <w:ind w:firstLine="709"/>
      </w:pPr>
      <w:r>
        <w:t>50</w:t>
      </w:r>
      <w:r w:rsidRPr="000B243D">
        <w:t xml:space="preserve"> – maksimāli iespējamais punktu skaits;</w:t>
      </w:r>
    </w:p>
    <w:p w:rsidR="007A4646" w:rsidRPr="000B243D" w:rsidRDefault="007A4646" w:rsidP="007A4646">
      <w:pPr>
        <w:pStyle w:val="naisf"/>
        <w:ind w:firstLine="709"/>
      </w:pPr>
      <w:r w:rsidRPr="000B243D">
        <w:t xml:space="preserve">A – viszemākā piedāvājuma </w:t>
      </w:r>
      <w:r>
        <w:t>nosacīta līgum</w:t>
      </w:r>
      <w:r w:rsidRPr="000B243D">
        <w:t>cena;</w:t>
      </w:r>
    </w:p>
    <w:p w:rsidR="007A4646" w:rsidRPr="000B243D" w:rsidRDefault="007A4646" w:rsidP="007A4646">
      <w:pPr>
        <w:pStyle w:val="naisf"/>
        <w:ind w:firstLine="709"/>
      </w:pPr>
      <w:r w:rsidRPr="000B243D">
        <w:t xml:space="preserve">B – piedāvājuma </w:t>
      </w:r>
      <w:r>
        <w:t>nosacīta līgum</w:t>
      </w:r>
      <w:r w:rsidRPr="000B243D">
        <w:t>cena, kurai aprēķina punktus;</w:t>
      </w:r>
    </w:p>
    <w:p w:rsidR="007A4646" w:rsidRPr="000B243D" w:rsidRDefault="007A4646" w:rsidP="007A4646">
      <w:pPr>
        <w:pStyle w:val="naisf"/>
        <w:ind w:firstLine="709"/>
      </w:pPr>
      <w:r w:rsidRPr="000B243D">
        <w:t>C – attiecīgā piedāvājuma iegūtie punkti.</w:t>
      </w:r>
    </w:p>
    <w:p w:rsidR="007A4646" w:rsidRPr="000B243D" w:rsidRDefault="007A4646" w:rsidP="007A4646">
      <w:pPr>
        <w:pStyle w:val="naisf"/>
        <w:ind w:firstLine="709"/>
      </w:pPr>
      <w:r w:rsidRPr="000B243D">
        <w:rPr>
          <w:b/>
        </w:rPr>
        <w:t>2.</w:t>
      </w:r>
      <w:r>
        <w:rPr>
          <w:b/>
        </w:rPr>
        <w:t> </w:t>
      </w:r>
      <w:r w:rsidRPr="000B243D">
        <w:rPr>
          <w:b/>
        </w:rPr>
        <w:t xml:space="preserve">vērtēšanas kritērijs </w:t>
      </w:r>
      <w:r>
        <w:rPr>
          <w:b/>
        </w:rPr>
        <w:t>–</w:t>
      </w:r>
      <w:r w:rsidRPr="000B243D">
        <w:rPr>
          <w:b/>
        </w:rPr>
        <w:t xml:space="preserve"> </w:t>
      </w:r>
      <w:r w:rsidRPr="008872FF">
        <w:t>Preču</w:t>
      </w:r>
      <w:r w:rsidRPr="004B315B">
        <w:t xml:space="preserve"> daudzums, kas atbilst bioloģiskās lauksaimniecības</w:t>
      </w:r>
      <w:r>
        <w:t>,</w:t>
      </w:r>
      <w:r w:rsidRPr="004B315B">
        <w:t xml:space="preserve"> </w:t>
      </w:r>
      <w:r w:rsidRPr="007D623A">
        <w:t>nacionālās pārtikas kvalitātes shēmas</w:t>
      </w:r>
      <w:r w:rsidRPr="004B315B">
        <w:t xml:space="preserve"> vai lauksaimniecības produktu integrētās audzēšanas prasībām</w:t>
      </w:r>
      <w:r w:rsidRPr="000B243D">
        <w:rPr>
          <w:bCs/>
        </w:rPr>
        <w:t>.</w:t>
      </w:r>
    </w:p>
    <w:p w:rsidR="007A4646" w:rsidRPr="000B243D" w:rsidRDefault="007A4646" w:rsidP="007A4646">
      <w:pPr>
        <w:pStyle w:val="naisf"/>
        <w:ind w:firstLine="709"/>
      </w:pPr>
      <w:r w:rsidRPr="000B243D">
        <w:t xml:space="preserve">Maksimālais punktu skaits – </w:t>
      </w:r>
      <w:r>
        <w:t>20</w:t>
      </w:r>
      <w:r w:rsidRPr="000B243D">
        <w:t xml:space="preserve"> punkti – tiks piešķirts pretendentam ar visaugstāko piedāvāto </w:t>
      </w:r>
      <w:r>
        <w:t>Preču</w:t>
      </w:r>
      <w:r w:rsidRPr="004B315B">
        <w:t xml:space="preserve"> daudzum</w:t>
      </w:r>
      <w:r>
        <w:t>u (kg)</w:t>
      </w:r>
      <w:r w:rsidRPr="004B315B">
        <w:t xml:space="preserve"> </w:t>
      </w:r>
      <w:r>
        <w:t>no kopēja paredzēta Preču daudzuma(kg)</w:t>
      </w:r>
      <w:r w:rsidRPr="004B315B">
        <w:t>, kas atbilst bioloģiskās lauksaimniecības vai lauksaimniecības produktu integrētās audzēšanas prasībām</w:t>
      </w:r>
      <w:r w:rsidRPr="000B243D">
        <w:rPr>
          <w:bCs/>
        </w:rPr>
        <w:t>.</w:t>
      </w:r>
      <w:r w:rsidRPr="000B243D">
        <w:t xml:space="preserve"> Pārējiem piedāvājumiem piešķiramie punkti tiks aprēķināti, pielietojot formulu </w:t>
      </w:r>
      <w:r>
        <w:t>20</w:t>
      </w:r>
      <w:r w:rsidRPr="000B243D">
        <w:t xml:space="preserve"> x (</w:t>
      </w:r>
      <w:r>
        <w:t>W</w:t>
      </w:r>
      <w:r w:rsidRPr="000B243D">
        <w:t xml:space="preserve"> / </w:t>
      </w:r>
      <w:r>
        <w:t>F</w:t>
      </w:r>
      <w:r w:rsidRPr="000B243D">
        <w:t xml:space="preserve">) = </w:t>
      </w:r>
      <w:r>
        <w:t>H</w:t>
      </w:r>
      <w:r w:rsidRPr="000B243D">
        <w:t>, kur:</w:t>
      </w:r>
    </w:p>
    <w:p w:rsidR="007A4646" w:rsidRPr="000B243D" w:rsidRDefault="007A4646" w:rsidP="007A4646">
      <w:pPr>
        <w:pStyle w:val="naisf"/>
        <w:ind w:firstLine="709"/>
      </w:pPr>
      <w:r>
        <w:t>20</w:t>
      </w:r>
      <w:r w:rsidRPr="000B243D">
        <w:t xml:space="preserve"> – maksimāli iespējamais punktu skaits;</w:t>
      </w:r>
    </w:p>
    <w:p w:rsidR="007A4646" w:rsidRPr="000B243D" w:rsidRDefault="007A4646" w:rsidP="007A4646">
      <w:pPr>
        <w:pStyle w:val="naisf"/>
        <w:ind w:firstLine="709"/>
      </w:pPr>
      <w:r>
        <w:t>W</w:t>
      </w:r>
      <w:r w:rsidRPr="000B243D">
        <w:t xml:space="preserve"> –</w:t>
      </w:r>
      <w:r>
        <w:t xml:space="preserve"> Preču</w:t>
      </w:r>
      <w:r w:rsidRPr="004B315B">
        <w:t xml:space="preserve"> daudzums</w:t>
      </w:r>
      <w:r>
        <w:t xml:space="preserve"> (kg) no kopēja prognozējama Preču</w:t>
      </w:r>
      <w:r w:rsidRPr="004B315B">
        <w:t xml:space="preserve"> daudzum</w:t>
      </w:r>
      <w:r>
        <w:t>a</w:t>
      </w:r>
      <w:r w:rsidRPr="000B243D">
        <w:t xml:space="preserve">, </w:t>
      </w:r>
      <w:r w:rsidRPr="004B315B">
        <w:t>kas atbilst bioloģiskās lauksaimniecības vai lauksaimniecības produktu integrētās audzēšanas prasībām</w:t>
      </w:r>
      <w:r>
        <w:t xml:space="preserve">, </w:t>
      </w:r>
      <w:r w:rsidRPr="000B243D">
        <w:t>kura</w:t>
      </w:r>
      <w:r>
        <w:t>m</w:t>
      </w:r>
      <w:r w:rsidRPr="000B243D">
        <w:t xml:space="preserve"> aprēķina punktus;</w:t>
      </w:r>
    </w:p>
    <w:p w:rsidR="007A4646" w:rsidRPr="000B243D" w:rsidRDefault="007A4646" w:rsidP="007A4646">
      <w:pPr>
        <w:pStyle w:val="naisf"/>
        <w:ind w:firstLine="709"/>
      </w:pPr>
      <w:r>
        <w:t>F</w:t>
      </w:r>
      <w:r w:rsidRPr="000B243D">
        <w:t xml:space="preserve"> – visaugstāka</w:t>
      </w:r>
      <w:r>
        <w:t>is</w:t>
      </w:r>
      <w:r w:rsidRPr="000B243D">
        <w:t xml:space="preserve"> </w:t>
      </w:r>
      <w:r>
        <w:t>Preču</w:t>
      </w:r>
      <w:r w:rsidRPr="004B315B">
        <w:t xml:space="preserve"> daudzums</w:t>
      </w:r>
      <w:r>
        <w:t xml:space="preserve"> (kg no kopēja prognozējama Preču</w:t>
      </w:r>
      <w:r w:rsidRPr="004B315B">
        <w:t xml:space="preserve"> daudzum</w:t>
      </w:r>
      <w:r>
        <w:t>a)</w:t>
      </w:r>
      <w:r w:rsidRPr="000B243D">
        <w:t xml:space="preserve">, </w:t>
      </w:r>
      <w:r w:rsidRPr="004B315B">
        <w:t>kas atbilst bioloģiskās lauksaimniecības vai lauksaimniecības produktu integrētās audzēšanas prasībām</w:t>
      </w:r>
      <w:r w:rsidRPr="000B243D">
        <w:t>;</w:t>
      </w:r>
    </w:p>
    <w:p w:rsidR="007A4646" w:rsidRDefault="007A4646" w:rsidP="007A4646">
      <w:pPr>
        <w:pStyle w:val="naisf"/>
        <w:ind w:firstLine="709"/>
      </w:pPr>
      <w:r>
        <w:t>H</w:t>
      </w:r>
      <w:r w:rsidRPr="000B243D">
        <w:t xml:space="preserve"> – attiecīgā piedāvājumā iegūtie punkti.</w:t>
      </w:r>
    </w:p>
    <w:p w:rsidR="007A4646" w:rsidRPr="002A6D12" w:rsidRDefault="007A4646" w:rsidP="007A4646">
      <w:pPr>
        <w:pStyle w:val="naisf"/>
        <w:ind w:firstLine="709"/>
      </w:pPr>
      <w:r w:rsidRPr="002A6D12">
        <w:rPr>
          <w:b/>
        </w:rPr>
        <w:t>3.</w:t>
      </w:r>
      <w:r>
        <w:rPr>
          <w:b/>
        </w:rPr>
        <w:t> </w:t>
      </w:r>
      <w:r w:rsidRPr="002A6D12">
        <w:rPr>
          <w:b/>
        </w:rPr>
        <w:t xml:space="preserve">vērtēšanas kritērijs - </w:t>
      </w:r>
      <w:r w:rsidRPr="002A6D12">
        <w:t xml:space="preserve">Preču </w:t>
      </w:r>
      <w:r w:rsidRPr="007D623A">
        <w:t>īpatsvars (daudzums), kuri</w:t>
      </w:r>
      <w:r w:rsidRPr="002A6D12">
        <w:t xml:space="preserve"> tiek piegādāti atkārtoti izmantojamā primārajā iepakojumā</w:t>
      </w:r>
      <w:r>
        <w:t xml:space="preserve"> </w:t>
      </w:r>
      <w:r w:rsidRPr="008F1394">
        <w:t xml:space="preserve">(kuru </w:t>
      </w:r>
      <w:r>
        <w:t>p</w:t>
      </w:r>
      <w:r w:rsidRPr="008F1394">
        <w:t>retendents apņemas savākt atkārtotai izmantošanai, vai pārstrādei)</w:t>
      </w:r>
      <w:r w:rsidRPr="002A6D12">
        <w:rPr>
          <w:bCs/>
        </w:rPr>
        <w:t>.</w:t>
      </w:r>
    </w:p>
    <w:p w:rsidR="007A4646" w:rsidRPr="000B243D" w:rsidRDefault="007A4646" w:rsidP="007A4646">
      <w:pPr>
        <w:pStyle w:val="naisf"/>
        <w:ind w:firstLine="709"/>
      </w:pPr>
      <w:r w:rsidRPr="002A6D12">
        <w:t xml:space="preserve">Maksimālais punktu skaits – </w:t>
      </w:r>
      <w:r>
        <w:t>1</w:t>
      </w:r>
      <w:r w:rsidRPr="002A6D12">
        <w:t>5 punkti – tiks piešķirts pretendentam ar visaugstāko Preču īpatsvaru (kg) no kopēja prognozējama Preču apjomā, kuri tiek piegādāti atkārtoti izmantojamā primārajā iepakojumā</w:t>
      </w:r>
      <w:r>
        <w:rPr>
          <w:bCs/>
        </w:rPr>
        <w:t xml:space="preserve"> (kuru pretendents </w:t>
      </w:r>
      <w:r w:rsidRPr="009270C0">
        <w:t>apņemas savākt atkārtotai izmantošanai, vai pārstrādei</w:t>
      </w:r>
      <w:r>
        <w:t xml:space="preserve">). </w:t>
      </w:r>
      <w:r w:rsidRPr="000B243D">
        <w:t xml:space="preserve">Pārējiem piedāvājumiem piešķiramie punkti tiks aprēķināti, pielietojot formulu </w:t>
      </w:r>
      <w:r>
        <w:t>15</w:t>
      </w:r>
      <w:r w:rsidRPr="000B243D">
        <w:t xml:space="preserve"> x (</w:t>
      </w:r>
      <w:r>
        <w:t>Y</w:t>
      </w:r>
      <w:r w:rsidRPr="000B243D">
        <w:t xml:space="preserve"> / </w:t>
      </w:r>
      <w:r>
        <w:t>S</w:t>
      </w:r>
      <w:r w:rsidRPr="000B243D">
        <w:t xml:space="preserve">) = </w:t>
      </w:r>
      <w:r>
        <w:t>R</w:t>
      </w:r>
      <w:r w:rsidRPr="000B243D">
        <w:t>, kur:</w:t>
      </w:r>
    </w:p>
    <w:p w:rsidR="007A4646" w:rsidRPr="000B243D" w:rsidRDefault="007A4646" w:rsidP="007A4646">
      <w:pPr>
        <w:pStyle w:val="naisf"/>
        <w:ind w:firstLine="709"/>
      </w:pPr>
      <w:r>
        <w:t>15</w:t>
      </w:r>
      <w:r w:rsidRPr="000B243D">
        <w:t xml:space="preserve"> – maksimāli iespējamais punktu skaits;</w:t>
      </w:r>
    </w:p>
    <w:p w:rsidR="007A4646" w:rsidRDefault="007A4646" w:rsidP="007A4646">
      <w:pPr>
        <w:pStyle w:val="naisf"/>
        <w:ind w:firstLine="709"/>
      </w:pPr>
      <w:r>
        <w:t xml:space="preserve">Y – </w:t>
      </w:r>
      <w:r w:rsidRPr="0080406F">
        <w:t>Preču īpatsvar</w:t>
      </w:r>
      <w:r>
        <w:t>s</w:t>
      </w:r>
      <w:r w:rsidRPr="0080406F">
        <w:t xml:space="preserve"> (kg) no kopēja prognozējama Preču apjomā, kuri tiek piegādāti atkārtoti izmantojamā primārajā iepakojumā (kuru </w:t>
      </w:r>
      <w:r>
        <w:t>p</w:t>
      </w:r>
      <w:r w:rsidRPr="0080406F">
        <w:t>retendents apņemas savākt atkārtotai izmantošanai, vai pārstrādei)</w:t>
      </w:r>
      <w:r>
        <w:t>,</w:t>
      </w:r>
      <w:r w:rsidRPr="00D52492">
        <w:t xml:space="preserve"> </w:t>
      </w:r>
      <w:r w:rsidRPr="000B243D">
        <w:t>kura</w:t>
      </w:r>
      <w:r>
        <w:t>m</w:t>
      </w:r>
      <w:r w:rsidRPr="000B243D">
        <w:t xml:space="preserve"> aprēķina punktus;</w:t>
      </w:r>
    </w:p>
    <w:p w:rsidR="007A4646" w:rsidRPr="000B243D" w:rsidRDefault="007A4646" w:rsidP="007A4646">
      <w:pPr>
        <w:pStyle w:val="naisf"/>
        <w:ind w:firstLine="709"/>
      </w:pPr>
      <w:r>
        <w:t>S</w:t>
      </w:r>
      <w:r w:rsidRPr="000B243D">
        <w:t xml:space="preserve"> – </w:t>
      </w:r>
      <w:r w:rsidRPr="008F1394">
        <w:t xml:space="preserve">visaugstākais Preču īpatsvars (kg) no kopēja prognozējama Preču apjomā (kg), kuri tiek piegādāti atkārtoti izmantojamā primārajā iepakojumā (kuru </w:t>
      </w:r>
      <w:r>
        <w:t>p</w:t>
      </w:r>
      <w:r w:rsidRPr="008F1394">
        <w:t>retendents apņemas savākt atkārtotai izmantošanai, vai pārstrādei)</w:t>
      </w:r>
      <w:r w:rsidRPr="000B243D">
        <w:t>;</w:t>
      </w:r>
    </w:p>
    <w:p w:rsidR="007A4646" w:rsidRDefault="007A4646" w:rsidP="007A4646">
      <w:pPr>
        <w:pStyle w:val="naisf"/>
        <w:ind w:firstLine="709"/>
      </w:pPr>
      <w:r>
        <w:t>R</w:t>
      </w:r>
      <w:r w:rsidRPr="000B243D">
        <w:t xml:space="preserve"> – attiecīgā piedāvājumā iegūtie punkti.</w:t>
      </w:r>
    </w:p>
    <w:p w:rsidR="007A4646" w:rsidRPr="002A6D12" w:rsidRDefault="007A4646" w:rsidP="007A4646">
      <w:pPr>
        <w:pStyle w:val="naisf"/>
        <w:ind w:firstLine="709"/>
      </w:pPr>
      <w:r>
        <w:rPr>
          <w:b/>
        </w:rPr>
        <w:t>4</w:t>
      </w:r>
      <w:r w:rsidRPr="002A6D12">
        <w:rPr>
          <w:b/>
        </w:rPr>
        <w:t>.</w:t>
      </w:r>
      <w:r>
        <w:rPr>
          <w:b/>
        </w:rPr>
        <w:t> </w:t>
      </w:r>
      <w:r w:rsidRPr="002A6D12">
        <w:rPr>
          <w:b/>
        </w:rPr>
        <w:t xml:space="preserve">vērtēšanas kritērijs - </w:t>
      </w:r>
      <w:r w:rsidRPr="007750CA">
        <w:t>Preču daudzums, kas tiek piegādāts izmantojot autotransportu ar oglekļa dioksīda emisijas un piesārņotāju – slāpekļa oksīdu, metānu nesaturošo ogļūdeņražu un cieto daļiņu daudzumu kas nepārsniedz EURO</w:t>
      </w:r>
      <w:r>
        <w:t> </w:t>
      </w:r>
      <w:r w:rsidRPr="007750CA">
        <w:t>5</w:t>
      </w:r>
      <w:r>
        <w:t> </w:t>
      </w:r>
      <w:r w:rsidRPr="007750CA">
        <w:t>standartus.</w:t>
      </w:r>
    </w:p>
    <w:p w:rsidR="007A4646" w:rsidRPr="000B243D" w:rsidRDefault="007A4646" w:rsidP="007A4646">
      <w:pPr>
        <w:pStyle w:val="naisf"/>
        <w:ind w:firstLine="709"/>
      </w:pPr>
      <w:r w:rsidRPr="002A6D12">
        <w:t xml:space="preserve">Maksimālais punktu skaits – </w:t>
      </w:r>
      <w:r>
        <w:t>1</w:t>
      </w:r>
      <w:r w:rsidRPr="002A6D12">
        <w:t xml:space="preserve">5 punkti – </w:t>
      </w:r>
      <w:r w:rsidRPr="000B243D">
        <w:t xml:space="preserve">tiks piešķirts pretendentam ar visaugstāko piedāvāto </w:t>
      </w:r>
      <w:r>
        <w:t>Preču</w:t>
      </w:r>
      <w:r w:rsidRPr="004B315B">
        <w:t xml:space="preserve"> daudzum</w:t>
      </w:r>
      <w:r>
        <w:t>u (kg)</w:t>
      </w:r>
      <w:r w:rsidRPr="004B315B">
        <w:t xml:space="preserve"> </w:t>
      </w:r>
      <w:r>
        <w:t>no kopēja paredzēta Preču daudzuma(kg)</w:t>
      </w:r>
      <w:r w:rsidRPr="004B315B">
        <w:t xml:space="preserve">, kas </w:t>
      </w:r>
      <w:r w:rsidRPr="007750CA">
        <w:t>tiek piegādāts izmantojot autotransportu ar oglekļa dioksīda emisijas un piesārņotāju – slāpekļa oksīdu, metānu nesaturošo ogļūdeņražu un cieto daļiņu daudzumu kas nepārsniedz EURO</w:t>
      </w:r>
      <w:r>
        <w:t> </w:t>
      </w:r>
      <w:r w:rsidRPr="007750CA">
        <w:t>5</w:t>
      </w:r>
      <w:r>
        <w:t> </w:t>
      </w:r>
      <w:r w:rsidRPr="007750CA">
        <w:t>standartus.</w:t>
      </w:r>
      <w:r>
        <w:t xml:space="preserve"> </w:t>
      </w:r>
      <w:r w:rsidRPr="000B243D">
        <w:t xml:space="preserve">Pārējiem piedāvājumiem piešķiramie punkti tiks aprēķināti, pielietojot formulu </w:t>
      </w:r>
      <w:r>
        <w:t>15</w:t>
      </w:r>
      <w:r w:rsidRPr="000B243D">
        <w:t xml:space="preserve"> x (</w:t>
      </w:r>
      <w:r>
        <w:t>K</w:t>
      </w:r>
      <w:r w:rsidRPr="000B243D">
        <w:t xml:space="preserve"> / </w:t>
      </w:r>
      <w:r>
        <w:t>L</w:t>
      </w:r>
      <w:r w:rsidRPr="000B243D">
        <w:t xml:space="preserve">) = </w:t>
      </w:r>
      <w:r>
        <w:t>M</w:t>
      </w:r>
      <w:r w:rsidRPr="000B243D">
        <w:t>, kur:</w:t>
      </w:r>
    </w:p>
    <w:p w:rsidR="007A4646" w:rsidRPr="000B243D" w:rsidRDefault="007A4646" w:rsidP="007A4646">
      <w:pPr>
        <w:pStyle w:val="naisf"/>
        <w:ind w:firstLine="709"/>
      </w:pPr>
      <w:r>
        <w:t>15</w:t>
      </w:r>
      <w:r w:rsidRPr="000B243D">
        <w:t xml:space="preserve"> – maksimāli iespējamais punktu skaits;</w:t>
      </w:r>
    </w:p>
    <w:p w:rsidR="007A4646" w:rsidRDefault="007A4646" w:rsidP="007A4646">
      <w:pPr>
        <w:pStyle w:val="naisf"/>
        <w:ind w:firstLine="709"/>
      </w:pPr>
      <w:r>
        <w:t xml:space="preserve">K – </w:t>
      </w:r>
      <w:r w:rsidRPr="003D27D2">
        <w:t>Preču daudzums, kas tiek piegādāts izmantojot autotransportu ar oglekļa dioksīda emisijas un piesārņotāju – slāpekļa oksīdu, metānu nesaturošo ogļūdeņražu un cieto daļiņu daudzumu kas nepārsniedz EURO</w:t>
      </w:r>
      <w:r>
        <w:t> </w:t>
      </w:r>
      <w:r w:rsidRPr="003D27D2">
        <w:t>5 standartus</w:t>
      </w:r>
      <w:r>
        <w:t>,</w:t>
      </w:r>
      <w:r w:rsidRPr="00D52492">
        <w:t xml:space="preserve"> </w:t>
      </w:r>
      <w:r w:rsidRPr="000B243D">
        <w:t>kura</w:t>
      </w:r>
      <w:r>
        <w:t>m</w:t>
      </w:r>
      <w:r w:rsidRPr="000B243D">
        <w:t xml:space="preserve"> aprēķina punktus;</w:t>
      </w:r>
    </w:p>
    <w:p w:rsidR="007A4646" w:rsidRPr="000B243D" w:rsidRDefault="007A4646" w:rsidP="007A4646">
      <w:pPr>
        <w:pStyle w:val="naisf"/>
        <w:ind w:firstLine="709"/>
      </w:pPr>
      <w:r>
        <w:t>L</w:t>
      </w:r>
      <w:r w:rsidRPr="000B243D">
        <w:t xml:space="preserve"> – </w:t>
      </w:r>
      <w:r w:rsidRPr="008F1394">
        <w:t xml:space="preserve">visaugstākais Preču </w:t>
      </w:r>
      <w:r>
        <w:t>daudzums</w:t>
      </w:r>
      <w:r w:rsidRPr="008F1394">
        <w:t xml:space="preserve"> (kg) no kopēja prognozējama Preču apjomā (kg), kuri tiek piegādāti </w:t>
      </w:r>
      <w:r w:rsidRPr="003D27D2">
        <w:t>izmantojot autotransportu ar oglekļa dioksīda emisijas un piesārņotāju – slāpekļa oksīdu, metānu nesaturošo ogļūdeņražu un cieto daļiņu daudzumu kas nepārsniedz EURO</w:t>
      </w:r>
      <w:r>
        <w:t> </w:t>
      </w:r>
      <w:r w:rsidRPr="003D27D2">
        <w:t>5</w:t>
      </w:r>
      <w:r>
        <w:t> </w:t>
      </w:r>
      <w:r w:rsidRPr="003D27D2">
        <w:t>standartus</w:t>
      </w:r>
      <w:r w:rsidRPr="000B243D">
        <w:t>;</w:t>
      </w:r>
    </w:p>
    <w:p w:rsidR="007A4646" w:rsidRDefault="007A4646" w:rsidP="007A4646">
      <w:pPr>
        <w:pStyle w:val="naisf"/>
        <w:ind w:firstLine="709"/>
      </w:pPr>
      <w:r>
        <w:t>M</w:t>
      </w:r>
      <w:r w:rsidRPr="000B243D">
        <w:t xml:space="preserve"> – attiecīgā piedāvājumā iegūtie punkti.</w:t>
      </w:r>
    </w:p>
    <w:p w:rsidR="007A4646" w:rsidRPr="007A4646" w:rsidRDefault="007A4646" w:rsidP="007A4646">
      <w:pPr>
        <w:pStyle w:val="NoSpacing"/>
        <w:spacing w:before="120"/>
        <w:jc w:val="both"/>
        <w:rPr>
          <w:rFonts w:ascii="Times New Roman" w:hAnsi="Times New Roman"/>
          <w:b/>
          <w:noProof w:val="0"/>
          <w:sz w:val="24"/>
          <w:szCs w:val="24"/>
          <w:u w:val="single"/>
        </w:rPr>
      </w:pPr>
      <w:r w:rsidRPr="007A4646">
        <w:rPr>
          <w:rFonts w:ascii="Times New Roman" w:hAnsi="Times New Roman"/>
          <w:sz w:val="24"/>
          <w:szCs w:val="24"/>
        </w:rPr>
        <w:t>7.7. 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Iepirkumu komisija atzīs piedāvājumu, kurš ieguvis vislielāko punktu skaitu (C+H+R+M)</w:t>
      </w:r>
      <w:r>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w:t>
      </w:r>
      <w:r w:rsidR="007A4646">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iesniegušo</w:t>
      </w:r>
      <w:r w:rsidR="007A63A2">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7A63A2">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791EC2" w:rsidTr="00345924">
        <w:trPr>
          <w:trHeight w:val="716"/>
        </w:trPr>
        <w:tc>
          <w:tcPr>
            <w:tcW w:w="2865" w:type="dxa"/>
            <w:vAlign w:val="center"/>
          </w:tcPr>
          <w:p w:rsidR="00352323" w:rsidRPr="00791EC2" w:rsidRDefault="00065320" w:rsidP="00352323">
            <w:pPr>
              <w:pStyle w:val="NoSpacing"/>
              <w:jc w:val="center"/>
              <w:rPr>
                <w:rFonts w:ascii="Times New Roman" w:hAnsi="Times New Roman"/>
              </w:rPr>
            </w:pPr>
            <w:r w:rsidRPr="00791EC2">
              <w:t xml:space="preserve"> </w:t>
            </w:r>
            <w:r w:rsidR="00352323" w:rsidRPr="00791EC2">
              <w:rPr>
                <w:rFonts w:ascii="Times New Roman" w:hAnsi="Times New Roman"/>
              </w:rPr>
              <w:t>Pretendenta</w:t>
            </w:r>
          </w:p>
          <w:p w:rsidR="00352323" w:rsidRPr="00791EC2" w:rsidRDefault="00352323" w:rsidP="00352323">
            <w:pPr>
              <w:pStyle w:val="NoSpacing"/>
              <w:jc w:val="center"/>
              <w:rPr>
                <w:rFonts w:ascii="Times New Roman" w:hAnsi="Times New Roman"/>
              </w:rPr>
            </w:pPr>
            <w:r w:rsidRPr="00791EC2">
              <w:rPr>
                <w:rFonts w:ascii="Times New Roman" w:hAnsi="Times New Roman"/>
              </w:rPr>
              <w:t>nosaukums un reģistrācijas Nr.</w:t>
            </w:r>
          </w:p>
        </w:tc>
        <w:tc>
          <w:tcPr>
            <w:tcW w:w="2664"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juridiskā</w:t>
            </w:r>
          </w:p>
          <w:p w:rsidR="00352323" w:rsidRPr="00791EC2" w:rsidRDefault="00352323" w:rsidP="00352323">
            <w:pPr>
              <w:pStyle w:val="NoSpacing"/>
              <w:jc w:val="center"/>
              <w:rPr>
                <w:rFonts w:ascii="Times New Roman" w:hAnsi="Times New Roman"/>
              </w:rPr>
            </w:pPr>
            <w:r w:rsidRPr="00791EC2">
              <w:rPr>
                <w:rFonts w:ascii="Times New Roman" w:hAnsi="Times New Roman"/>
              </w:rPr>
              <w:t>adrese</w:t>
            </w:r>
          </w:p>
        </w:tc>
        <w:tc>
          <w:tcPr>
            <w:tcW w:w="2551"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piedāvājuma saņemšanas datums un laiks</w:t>
            </w:r>
          </w:p>
        </w:tc>
        <w:tc>
          <w:tcPr>
            <w:tcW w:w="1589"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Piedāvājuma reģistrācijas Nr.</w:t>
            </w:r>
          </w:p>
        </w:tc>
      </w:tr>
      <w:tr w:rsidR="007A4646" w:rsidRPr="00791EC2" w:rsidTr="007A4646">
        <w:trPr>
          <w:trHeight w:val="723"/>
        </w:trPr>
        <w:tc>
          <w:tcPr>
            <w:tcW w:w="2865" w:type="dxa"/>
            <w:vAlign w:val="center"/>
          </w:tcPr>
          <w:p w:rsidR="007A4646" w:rsidRPr="007A4646" w:rsidRDefault="007A4646" w:rsidP="007A4646">
            <w:pPr>
              <w:pStyle w:val="NoSpacing"/>
              <w:jc w:val="center"/>
              <w:rPr>
                <w:rFonts w:ascii="Times New Roman" w:hAnsi="Times New Roman"/>
                <w:b/>
                <w:lang w:eastAsia="lv-LV"/>
              </w:rPr>
            </w:pPr>
            <w:r w:rsidRPr="007A4646">
              <w:rPr>
                <w:rFonts w:ascii="Times New Roman" w:hAnsi="Times New Roman"/>
                <w:lang w:eastAsia="lv-LV"/>
              </w:rPr>
              <w:t>SIA</w:t>
            </w:r>
            <w:r w:rsidRPr="007A4646">
              <w:rPr>
                <w:rFonts w:ascii="Times New Roman" w:hAnsi="Times New Roman"/>
                <w:b/>
                <w:lang w:eastAsia="lv-LV"/>
              </w:rPr>
              <w:t xml:space="preserve"> </w:t>
            </w:r>
            <w:r w:rsidRPr="007A4646">
              <w:rPr>
                <w:rFonts w:ascii="Times New Roman" w:hAnsi="Times New Roman"/>
                <w:lang w:eastAsia="lv-LV"/>
              </w:rPr>
              <w:t>"Kabuleti Fruit",</w:t>
            </w:r>
          </w:p>
          <w:p w:rsidR="007A4646" w:rsidRPr="007A4646" w:rsidRDefault="007A4646" w:rsidP="007A4646">
            <w:pPr>
              <w:pStyle w:val="NoSpacing"/>
              <w:jc w:val="center"/>
              <w:rPr>
                <w:rFonts w:ascii="Times New Roman" w:hAnsi="Times New Roman"/>
                <w:lang w:eastAsia="lv-LV"/>
              </w:rPr>
            </w:pPr>
            <w:r w:rsidRPr="007A4646">
              <w:rPr>
                <w:rFonts w:ascii="Times New Roman" w:hAnsi="Times New Roman"/>
                <w:lang w:eastAsia="lv-LV"/>
              </w:rPr>
              <w:t>reģistrācijas Nr.40003959814</w:t>
            </w:r>
          </w:p>
        </w:tc>
        <w:tc>
          <w:tcPr>
            <w:tcW w:w="2664" w:type="dxa"/>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Lubānas iela 82, Rīga, LV-1073</w:t>
            </w:r>
          </w:p>
        </w:tc>
        <w:tc>
          <w:tcPr>
            <w:tcW w:w="2551" w:type="dxa"/>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2017.gada 25.jūlijs, plkst.8.59</w:t>
            </w:r>
          </w:p>
        </w:tc>
        <w:tc>
          <w:tcPr>
            <w:tcW w:w="1589" w:type="dxa"/>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10936</w:t>
            </w:r>
          </w:p>
        </w:tc>
      </w:tr>
      <w:tr w:rsidR="007A4646" w:rsidRPr="00791EC2" w:rsidTr="007A4646">
        <w:trPr>
          <w:trHeight w:val="723"/>
        </w:trPr>
        <w:tc>
          <w:tcPr>
            <w:tcW w:w="2865" w:type="dxa"/>
            <w:vAlign w:val="center"/>
          </w:tcPr>
          <w:p w:rsidR="007A4646" w:rsidRPr="007A4646" w:rsidRDefault="007A4646" w:rsidP="007A4646">
            <w:pPr>
              <w:pStyle w:val="NoSpacing"/>
              <w:jc w:val="center"/>
              <w:rPr>
                <w:rFonts w:ascii="Times New Roman" w:hAnsi="Times New Roman"/>
                <w:b/>
                <w:lang w:eastAsia="lv-LV"/>
              </w:rPr>
            </w:pPr>
            <w:r w:rsidRPr="007A4646">
              <w:rPr>
                <w:rFonts w:ascii="Times New Roman" w:hAnsi="Times New Roman"/>
                <w:lang w:eastAsia="lv-LV"/>
              </w:rPr>
              <w:t>SIA</w:t>
            </w:r>
            <w:r w:rsidRPr="007A4646">
              <w:rPr>
                <w:rFonts w:ascii="Times New Roman" w:hAnsi="Times New Roman"/>
                <w:b/>
                <w:lang w:eastAsia="lv-LV"/>
              </w:rPr>
              <w:t xml:space="preserve"> </w:t>
            </w:r>
            <w:r w:rsidRPr="007A4646">
              <w:rPr>
                <w:rFonts w:ascii="Times New Roman" w:hAnsi="Times New Roman"/>
                <w:lang w:eastAsia="lv-LV"/>
              </w:rPr>
              <w:t>"Sanitex",</w:t>
            </w:r>
          </w:p>
          <w:p w:rsidR="007A4646" w:rsidRPr="007A4646" w:rsidRDefault="007A4646" w:rsidP="007A4646">
            <w:pPr>
              <w:pStyle w:val="NoSpacing"/>
              <w:jc w:val="center"/>
              <w:rPr>
                <w:rFonts w:ascii="Times New Roman" w:hAnsi="Times New Roman"/>
                <w:lang w:eastAsia="lv-LV"/>
              </w:rPr>
            </w:pPr>
            <w:r w:rsidRPr="007A4646">
              <w:rPr>
                <w:rFonts w:ascii="Times New Roman" w:hAnsi="Times New Roman"/>
                <w:lang w:eastAsia="lv-LV"/>
              </w:rPr>
              <w:t>reģistrācijas Nr.40003166842</w:t>
            </w:r>
          </w:p>
        </w:tc>
        <w:tc>
          <w:tcPr>
            <w:tcW w:w="2664" w:type="dxa"/>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Liepu aleja 4, Rāmava, Ķekavas pag., Ķekavas nov., LV-2111</w:t>
            </w:r>
          </w:p>
        </w:tc>
        <w:tc>
          <w:tcPr>
            <w:tcW w:w="2551" w:type="dxa"/>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2017.gada 25.jūlijs, plkst.9.49</w:t>
            </w:r>
          </w:p>
        </w:tc>
        <w:tc>
          <w:tcPr>
            <w:tcW w:w="1589" w:type="dxa"/>
            <w:vAlign w:val="center"/>
          </w:tcPr>
          <w:p w:rsidR="007A4646" w:rsidRPr="007A4646" w:rsidRDefault="007A4646" w:rsidP="007A4646">
            <w:pPr>
              <w:pStyle w:val="NoSpacing"/>
              <w:jc w:val="center"/>
              <w:rPr>
                <w:rFonts w:ascii="Times New Roman" w:hAnsi="Times New Roman"/>
              </w:rPr>
            </w:pPr>
            <w:r w:rsidRPr="007A4646">
              <w:rPr>
                <w:rFonts w:ascii="Times New Roman" w:hAnsi="Times New Roman"/>
              </w:rPr>
              <w:t>10938</w:t>
            </w:r>
          </w:p>
        </w:tc>
      </w:tr>
    </w:tbl>
    <w:p w:rsidR="007A4646" w:rsidRDefault="00225E1B" w:rsidP="00225E1B">
      <w:pPr>
        <w:pStyle w:val="BodyTextIndent2"/>
        <w:spacing w:before="120" w:after="120"/>
        <w:ind w:right="-1" w:firstLine="0"/>
        <w:rPr>
          <w:sz w:val="24"/>
          <w:lang w:val="lv-LV"/>
        </w:rPr>
      </w:pPr>
      <w:r>
        <w:rPr>
          <w:sz w:val="24"/>
        </w:rPr>
        <w:t xml:space="preserve">     </w:t>
      </w:r>
      <w:r w:rsidR="00576F77">
        <w:rPr>
          <w:sz w:val="24"/>
          <w:lang w:val="lv-LV"/>
        </w:rPr>
        <w:t xml:space="preserve">  </w:t>
      </w:r>
    </w:p>
    <w:p w:rsidR="00D13473" w:rsidRPr="00145CF0" w:rsidRDefault="0061413C" w:rsidP="0061413C">
      <w:pPr>
        <w:spacing w:before="120" w:after="0" w:line="240" w:lineRule="auto"/>
        <w:ind w:firstLine="709"/>
        <w:jc w:val="both"/>
        <w:rPr>
          <w:rFonts w:ascii="Times New Roman" w:eastAsia="Times New Roman" w:hAnsi="Times New Roman"/>
          <w:noProof w:val="0"/>
          <w:sz w:val="24"/>
          <w:szCs w:val="24"/>
        </w:rPr>
      </w:pPr>
      <w:r>
        <w:rPr>
          <w:rFonts w:ascii="Times New Roman" w:hAnsi="Times New Roman"/>
          <w:noProof w:val="0"/>
          <w:sz w:val="24"/>
          <w:szCs w:val="24"/>
        </w:rPr>
        <w:t>N. Gruzdova</w:t>
      </w:r>
      <w:r w:rsidR="007A63A2">
        <w:rPr>
          <w:rFonts w:ascii="Times New Roman" w:hAnsi="Times New Roman"/>
          <w:noProof w:val="0"/>
          <w:sz w:val="24"/>
          <w:szCs w:val="24"/>
        </w:rPr>
        <w:t xml:space="preserve"> informē, </w:t>
      </w:r>
      <w:r w:rsidR="00FE6E7B">
        <w:rPr>
          <w:rFonts w:ascii="Times New Roman" w:hAnsi="Times New Roman"/>
          <w:noProof w:val="0"/>
          <w:sz w:val="24"/>
          <w:szCs w:val="24"/>
        </w:rPr>
        <w:t xml:space="preserve">ka </w:t>
      </w:r>
      <w:r w:rsidR="007A63A2">
        <w:rPr>
          <w:rFonts w:ascii="Times New Roman" w:hAnsi="Times New Roman"/>
          <w:noProof w:val="0"/>
          <w:sz w:val="24"/>
          <w:szCs w:val="24"/>
        </w:rPr>
        <w:t xml:space="preserve">ņemot vērā </w:t>
      </w:r>
      <w:r w:rsidR="00022EFC">
        <w:rPr>
          <w:rFonts w:ascii="Times New Roman" w:hAnsi="Times New Roman"/>
          <w:noProof w:val="0"/>
          <w:sz w:val="24"/>
          <w:szCs w:val="24"/>
        </w:rPr>
        <w:t xml:space="preserve">Iepirkuma </w:t>
      </w:r>
      <w:r w:rsidR="004A2342">
        <w:rPr>
          <w:rFonts w:ascii="Times New Roman" w:hAnsi="Times New Roman"/>
          <w:sz w:val="24"/>
          <w:szCs w:val="24"/>
        </w:rPr>
        <w:t>"</w:t>
      </w:r>
      <w:r w:rsidR="004A2342" w:rsidRPr="00912502">
        <w:rPr>
          <w:rFonts w:ascii="Times New Roman" w:hAnsi="Times New Roman"/>
          <w:sz w:val="24"/>
          <w:szCs w:val="24"/>
        </w:rPr>
        <w:t>Dārzeņu iegāde ar piegādi Liepājas cietumam piemērojot zaļā publiskā iepirkuma kritērijus</w:t>
      </w:r>
      <w:r w:rsidR="004A2342">
        <w:rPr>
          <w:rFonts w:ascii="Times New Roman" w:hAnsi="Times New Roman"/>
          <w:sz w:val="24"/>
        </w:rPr>
        <w:t xml:space="preserve">" (identifikācijas Nr. IeVP 2017/61) </w:t>
      </w:r>
      <w:r w:rsidR="00022EFC">
        <w:rPr>
          <w:rFonts w:ascii="Times New Roman" w:hAnsi="Times New Roman"/>
          <w:noProof w:val="0"/>
          <w:sz w:val="24"/>
          <w:szCs w:val="24"/>
        </w:rPr>
        <w:t xml:space="preserve">nolikuma </w:t>
      </w:r>
      <w:r w:rsidR="004A2342">
        <w:rPr>
          <w:rFonts w:ascii="Times New Roman" w:hAnsi="Times New Roman"/>
          <w:noProof w:val="0"/>
          <w:sz w:val="24"/>
          <w:szCs w:val="24"/>
        </w:rPr>
        <w:t xml:space="preserve"> tehniskajā specifikācijā minēto </w:t>
      </w:r>
      <w:r w:rsidR="00022EFC">
        <w:rPr>
          <w:rFonts w:ascii="Times New Roman" w:hAnsi="Times New Roman"/>
          <w:noProof w:val="0"/>
          <w:sz w:val="24"/>
          <w:szCs w:val="24"/>
        </w:rPr>
        <w:t>nosacījumu "</w:t>
      </w:r>
      <w:r w:rsidR="00022EFC" w:rsidRPr="00022EFC">
        <w:rPr>
          <w:rFonts w:ascii="Times New Roman" w:hAnsi="Times New Roman"/>
          <w:sz w:val="24"/>
          <w:szCs w:val="24"/>
        </w:rPr>
        <w:t xml:space="preserve">Liepājas cietumam paredzētais Preču apjoms, iespējams, netiks izņemts vispār, ja tiks noslēgts līgums </w:t>
      </w:r>
      <w:r w:rsidR="00022EFC">
        <w:rPr>
          <w:rFonts w:ascii="Times New Roman" w:hAnsi="Times New Roman"/>
          <w:sz w:val="24"/>
          <w:szCs w:val="24"/>
        </w:rPr>
        <w:t>"</w:t>
      </w:r>
      <w:r w:rsidR="00022EFC" w:rsidRPr="00022EFC">
        <w:rPr>
          <w:rFonts w:ascii="Times New Roman" w:hAnsi="Times New Roman"/>
          <w:sz w:val="24"/>
          <w:szCs w:val="24"/>
        </w:rPr>
        <w:t>Ēdināšanas pakalpojumu sniegšana ieslodzītajiem Liepājas cietumā izmantojot dabīgo pārtiku, kas ražota ar biolo</w:t>
      </w:r>
      <w:r w:rsidR="00022EFC">
        <w:rPr>
          <w:rFonts w:ascii="Times New Roman" w:hAnsi="Times New Roman"/>
          <w:sz w:val="24"/>
          <w:szCs w:val="24"/>
        </w:rPr>
        <w:t>ģiskās lauksaimniecības metodēm"</w:t>
      </w:r>
      <w:r w:rsidR="00022EFC">
        <w:rPr>
          <w:rFonts w:ascii="Times New Roman" w:hAnsi="Times New Roman"/>
          <w:noProof w:val="0"/>
          <w:sz w:val="24"/>
          <w:szCs w:val="24"/>
        </w:rPr>
        <w:t>"</w:t>
      </w:r>
      <w:r w:rsidR="00CE51D6">
        <w:rPr>
          <w:rFonts w:ascii="Times New Roman" w:hAnsi="Times New Roman"/>
          <w:noProof w:val="0"/>
          <w:sz w:val="24"/>
          <w:szCs w:val="24"/>
        </w:rPr>
        <w:t xml:space="preserve"> un to</w:t>
      </w:r>
      <w:r w:rsidR="00D13473" w:rsidRPr="00145CF0">
        <w:rPr>
          <w:rFonts w:ascii="Times New Roman" w:eastAsia="Times New Roman" w:hAnsi="Times New Roman"/>
          <w:noProof w:val="0"/>
          <w:sz w:val="24"/>
          <w:szCs w:val="24"/>
        </w:rPr>
        <w:t>, ka</w:t>
      </w:r>
      <w:r w:rsidR="00CE51D6">
        <w:rPr>
          <w:rFonts w:ascii="Times New Roman" w:eastAsia="Times New Roman" w:hAnsi="Times New Roman"/>
          <w:noProof w:val="0"/>
          <w:sz w:val="24"/>
          <w:szCs w:val="24"/>
        </w:rPr>
        <w:t xml:space="preserve"> 2017. gada 18.augustā tika noslēgts </w:t>
      </w:r>
      <w:r w:rsidR="00CE51D6" w:rsidRPr="00CE51D6">
        <w:rPr>
          <w:rFonts w:ascii="Times New Roman" w:eastAsia="Times New Roman" w:hAnsi="Times New Roman"/>
          <w:noProof w:val="0"/>
          <w:sz w:val="24"/>
          <w:szCs w:val="24"/>
        </w:rPr>
        <w:t xml:space="preserve">līgums </w:t>
      </w:r>
      <w:r w:rsidR="00CE51D6">
        <w:rPr>
          <w:rFonts w:ascii="Times New Roman" w:hAnsi="Times New Roman"/>
          <w:sz w:val="24"/>
          <w:szCs w:val="24"/>
        </w:rPr>
        <w:t>"</w:t>
      </w:r>
      <w:r w:rsidR="00CE51D6" w:rsidRPr="00CE51D6">
        <w:rPr>
          <w:rFonts w:ascii="Times New Roman" w:hAnsi="Times New Roman"/>
          <w:sz w:val="24"/>
          <w:szCs w:val="24"/>
        </w:rPr>
        <w:t>Ēdināšanas pakalpojumu sniegšana ieslodzītajiem Liepājas cietumā</w:t>
      </w:r>
      <w:r w:rsidR="00CE51D6">
        <w:rPr>
          <w:rFonts w:ascii="Times New Roman" w:hAnsi="Times New Roman"/>
          <w:sz w:val="24"/>
          <w:szCs w:val="24"/>
        </w:rPr>
        <w:t>"</w:t>
      </w:r>
      <w:r>
        <w:rPr>
          <w:rFonts w:ascii="Times New Roman" w:eastAsia="Times New Roman" w:hAnsi="Times New Roman"/>
          <w:noProof w:val="0"/>
          <w:sz w:val="24"/>
          <w:szCs w:val="24"/>
        </w:rPr>
        <w:t>, iepirkums "</w:t>
      </w:r>
      <w:r w:rsidRPr="00912502">
        <w:rPr>
          <w:rFonts w:ascii="Times New Roman" w:hAnsi="Times New Roman"/>
          <w:sz w:val="24"/>
          <w:szCs w:val="24"/>
        </w:rPr>
        <w:t>Dārzeņu iegāde ar piegādi Liepājas cietumam piemērojot zaļā publiskā iepirkuma kritērijus</w:t>
      </w:r>
      <w:r>
        <w:rPr>
          <w:rFonts w:ascii="Times New Roman" w:eastAsia="Times New Roman" w:hAnsi="Times New Roman"/>
          <w:bCs/>
          <w:noProof w:val="0"/>
          <w:sz w:val="24"/>
          <w:szCs w:val="24"/>
        </w:rPr>
        <w:t>"</w:t>
      </w:r>
      <w:r w:rsidR="00D13473" w:rsidRPr="00145CF0">
        <w:rPr>
          <w:rFonts w:ascii="Times New Roman" w:eastAsia="Times New Roman" w:hAnsi="Times New Roman"/>
          <w:bCs/>
          <w:noProof w:val="0"/>
          <w:sz w:val="24"/>
          <w:szCs w:val="24"/>
        </w:rPr>
        <w:t xml:space="preserve"> </w:t>
      </w:r>
      <w:r w:rsidR="00D13473">
        <w:rPr>
          <w:rFonts w:ascii="Times New Roman" w:eastAsia="Times New Roman" w:hAnsi="Times New Roman"/>
          <w:noProof w:val="0"/>
          <w:sz w:val="24"/>
          <w:szCs w:val="24"/>
        </w:rPr>
        <w:t>(iepirkuma identifikācijas Nr.</w:t>
      </w:r>
      <w:r w:rsidR="00D13473" w:rsidRPr="00145CF0">
        <w:rPr>
          <w:rFonts w:ascii="Times New Roman" w:eastAsia="Times New Roman" w:hAnsi="Times New Roman"/>
          <w:noProof w:val="0"/>
          <w:sz w:val="24"/>
          <w:szCs w:val="24"/>
        </w:rPr>
        <w:t>IeVP</w:t>
      </w:r>
      <w:r w:rsidR="00D13473">
        <w:rPr>
          <w:rFonts w:ascii="Times New Roman" w:eastAsia="Times New Roman" w:hAnsi="Times New Roman"/>
          <w:noProof w:val="0"/>
          <w:sz w:val="24"/>
          <w:szCs w:val="24"/>
        </w:rPr>
        <w:t> </w:t>
      </w:r>
      <w:r w:rsidR="00D13473" w:rsidRPr="00145CF0">
        <w:rPr>
          <w:rFonts w:ascii="Times New Roman" w:eastAsia="Times New Roman" w:hAnsi="Times New Roman"/>
          <w:noProof w:val="0"/>
          <w:sz w:val="24"/>
          <w:szCs w:val="24"/>
        </w:rPr>
        <w:t>201</w:t>
      </w:r>
      <w:r>
        <w:rPr>
          <w:rFonts w:ascii="Times New Roman" w:eastAsia="Times New Roman" w:hAnsi="Times New Roman"/>
          <w:noProof w:val="0"/>
          <w:sz w:val="24"/>
          <w:szCs w:val="24"/>
        </w:rPr>
        <w:t>7/6</w:t>
      </w:r>
      <w:r w:rsidR="00FE6E7B">
        <w:rPr>
          <w:rFonts w:ascii="Times New Roman" w:eastAsia="Times New Roman" w:hAnsi="Times New Roman"/>
          <w:noProof w:val="0"/>
          <w:sz w:val="24"/>
          <w:szCs w:val="24"/>
        </w:rPr>
        <w:t>1</w:t>
      </w:r>
      <w:r w:rsidR="00D13473" w:rsidRPr="00145CF0">
        <w:rPr>
          <w:rFonts w:ascii="Times New Roman" w:eastAsia="Times New Roman" w:hAnsi="Times New Roman"/>
          <w:noProof w:val="0"/>
          <w:sz w:val="24"/>
          <w:szCs w:val="24"/>
        </w:rPr>
        <w:t>)</w:t>
      </w:r>
      <w:r w:rsidR="00D13473" w:rsidRPr="00145CF0">
        <w:rPr>
          <w:rFonts w:ascii="Times New Roman" w:eastAsia="Times New Roman" w:hAnsi="Times New Roman"/>
          <w:b/>
          <w:bCs/>
          <w:noProof w:val="0"/>
          <w:sz w:val="24"/>
          <w:szCs w:val="24"/>
        </w:rPr>
        <w:t xml:space="preserve"> </w:t>
      </w:r>
      <w:r w:rsidR="00D13473" w:rsidRPr="00145CF0">
        <w:rPr>
          <w:rFonts w:ascii="Times New Roman" w:eastAsia="Times New Roman" w:hAnsi="Times New Roman"/>
          <w:noProof w:val="0"/>
          <w:sz w:val="24"/>
          <w:szCs w:val="24"/>
        </w:rPr>
        <w:t xml:space="preserve">būtu pārtraucams saskaņā </w:t>
      </w:r>
      <w:r w:rsidR="00D13473" w:rsidRPr="00145CF0">
        <w:rPr>
          <w:rFonts w:ascii="Times New Roman" w:eastAsia="Times New Roman" w:hAnsi="Times New Roman"/>
          <w:bCs/>
          <w:noProof w:val="0"/>
          <w:sz w:val="24"/>
          <w:szCs w:val="24"/>
        </w:rPr>
        <w:t xml:space="preserve">ar </w:t>
      </w:r>
      <w:r w:rsidR="00CE51D6">
        <w:rPr>
          <w:rFonts w:ascii="Times New Roman" w:eastAsia="Times New Roman" w:hAnsi="Times New Roman"/>
          <w:bCs/>
          <w:noProof w:val="0"/>
          <w:sz w:val="24"/>
          <w:szCs w:val="24"/>
        </w:rPr>
        <w:t>Publisko iepirkumu likuma (turpmāk – Likums)</w:t>
      </w:r>
      <w:r w:rsidR="00FB6BA0">
        <w:rPr>
          <w:rFonts w:ascii="Times New Roman" w:eastAsia="Times New Roman" w:hAnsi="Times New Roman"/>
          <w:bCs/>
          <w:noProof w:val="0"/>
          <w:sz w:val="24"/>
          <w:szCs w:val="24"/>
        </w:rPr>
        <w:t xml:space="preserve"> 9</w:t>
      </w:r>
      <w:r w:rsidR="00D13473" w:rsidRPr="00145CF0">
        <w:rPr>
          <w:rFonts w:ascii="Times New Roman" w:eastAsia="Times New Roman" w:hAnsi="Times New Roman"/>
          <w:bCs/>
          <w:noProof w:val="0"/>
          <w:sz w:val="24"/>
          <w:szCs w:val="24"/>
        </w:rPr>
        <w:t>.</w:t>
      </w:r>
      <w:r w:rsidR="00D13473">
        <w:rPr>
          <w:rFonts w:ascii="Times New Roman" w:eastAsia="Times New Roman" w:hAnsi="Times New Roman"/>
          <w:bCs/>
          <w:noProof w:val="0"/>
          <w:sz w:val="24"/>
          <w:szCs w:val="24"/>
        </w:rPr>
        <w:t> </w:t>
      </w:r>
      <w:r w:rsidR="001A68B2">
        <w:rPr>
          <w:rFonts w:ascii="Times New Roman" w:eastAsia="Times New Roman" w:hAnsi="Times New Roman"/>
          <w:bCs/>
          <w:noProof w:val="0"/>
          <w:sz w:val="24"/>
          <w:szCs w:val="24"/>
        </w:rPr>
        <w:t>panta piec</w:t>
      </w:r>
      <w:r w:rsidR="00D13473" w:rsidRPr="00145CF0">
        <w:rPr>
          <w:rFonts w:ascii="Times New Roman" w:eastAsia="Times New Roman" w:hAnsi="Times New Roman"/>
          <w:bCs/>
          <w:noProof w:val="0"/>
          <w:sz w:val="24"/>
          <w:szCs w:val="24"/>
        </w:rPr>
        <w:t>padsmito daļu</w:t>
      </w:r>
      <w:r w:rsidR="00D13473" w:rsidRPr="00145CF0">
        <w:rPr>
          <w:rFonts w:ascii="Times New Roman" w:eastAsia="Times New Roman" w:hAnsi="Times New Roman"/>
          <w:noProof w:val="0"/>
          <w:sz w:val="24"/>
          <w:szCs w:val="24"/>
        </w:rPr>
        <w:t xml:space="preserve">. </w:t>
      </w:r>
    </w:p>
    <w:p w:rsidR="00D13473" w:rsidRDefault="00D13473"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D13473" w:rsidRDefault="00D13473" w:rsidP="00D13473">
      <w:pPr>
        <w:pStyle w:val="NoSpacing"/>
        <w:ind w:firstLine="709"/>
        <w:jc w:val="both"/>
        <w:rPr>
          <w:rFonts w:ascii="Times New Roman" w:hAnsi="Times New Roman"/>
          <w:sz w:val="24"/>
          <w:szCs w:val="24"/>
        </w:rPr>
      </w:pPr>
      <w:r w:rsidRPr="002E1D80">
        <w:rPr>
          <w:rFonts w:ascii="Times New Roman" w:hAnsi="Times New Roman"/>
          <w:sz w:val="24"/>
          <w:szCs w:val="24"/>
        </w:rPr>
        <w:t>1.</w:t>
      </w:r>
      <w:r>
        <w:t> </w:t>
      </w:r>
      <w:r>
        <w:rPr>
          <w:rFonts w:ascii="Times New Roman" w:eastAsia="Times New Roman" w:hAnsi="Times New Roman"/>
          <w:bCs/>
          <w:noProof w:val="0"/>
          <w:sz w:val="24"/>
          <w:szCs w:val="24"/>
        </w:rPr>
        <w:t>Saskaņā ar L</w:t>
      </w:r>
      <w:r w:rsidRPr="004A46EB">
        <w:rPr>
          <w:rFonts w:ascii="Times New Roman" w:eastAsia="Times New Roman" w:hAnsi="Times New Roman"/>
          <w:bCs/>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1A68B2">
        <w:rPr>
          <w:rFonts w:ascii="Times New Roman" w:eastAsia="Times New Roman" w:hAnsi="Times New Roman"/>
          <w:bCs/>
          <w:noProof w:val="0"/>
          <w:sz w:val="24"/>
          <w:szCs w:val="24"/>
        </w:rPr>
        <w:t> panta piec</w:t>
      </w:r>
      <w:r w:rsidR="001A68B2" w:rsidRPr="00145CF0">
        <w:rPr>
          <w:rFonts w:ascii="Times New Roman" w:eastAsia="Times New Roman" w:hAnsi="Times New Roman"/>
          <w:bCs/>
          <w:noProof w:val="0"/>
          <w:sz w:val="24"/>
          <w:szCs w:val="24"/>
        </w:rPr>
        <w:t xml:space="preserve">padsmito </w:t>
      </w:r>
      <w:r>
        <w:rPr>
          <w:rFonts w:ascii="Times New Roman" w:eastAsia="Times New Roman" w:hAnsi="Times New Roman"/>
          <w:bCs/>
          <w:noProof w:val="0"/>
          <w:sz w:val="24"/>
          <w:szCs w:val="24"/>
        </w:rPr>
        <w:t>daļu pārtraukt P</w:t>
      </w:r>
      <w:r w:rsidRPr="004A46EB">
        <w:rPr>
          <w:rFonts w:ascii="Times New Roman" w:eastAsia="Times New Roman" w:hAnsi="Times New Roman"/>
          <w:noProof w:val="0"/>
          <w:sz w:val="24"/>
          <w:szCs w:val="24"/>
        </w:rPr>
        <w:t>ārvaldes</w:t>
      </w:r>
      <w:r w:rsidRPr="004A46EB">
        <w:rPr>
          <w:rFonts w:ascii="Times New Roman" w:eastAsia="Times New Roman" w:hAnsi="Times New Roman"/>
          <w:bCs/>
          <w:noProof w:val="0"/>
          <w:sz w:val="24"/>
          <w:szCs w:val="24"/>
        </w:rPr>
        <w:t xml:space="preserve"> rīkoto iepirkumu </w:t>
      </w:r>
      <w:r w:rsidR="00CE51D6">
        <w:rPr>
          <w:rFonts w:ascii="Times New Roman" w:eastAsia="Times New Roman" w:hAnsi="Times New Roman"/>
          <w:noProof w:val="0"/>
          <w:sz w:val="24"/>
          <w:szCs w:val="24"/>
        </w:rPr>
        <w:t>"</w:t>
      </w:r>
      <w:r w:rsidR="00CE51D6" w:rsidRPr="00912502">
        <w:rPr>
          <w:rFonts w:ascii="Times New Roman" w:hAnsi="Times New Roman"/>
          <w:sz w:val="24"/>
          <w:szCs w:val="24"/>
        </w:rPr>
        <w:t>Dārzeņu iegāde ar piegādi Liepājas cietumam piemērojot zaļā publiskā iepirkuma kritērijus</w:t>
      </w:r>
      <w:r w:rsidR="00CE51D6">
        <w:rPr>
          <w:rFonts w:ascii="Times New Roman" w:eastAsia="Times New Roman" w:hAnsi="Times New Roman"/>
          <w:bCs/>
          <w:noProof w:val="0"/>
          <w:sz w:val="24"/>
          <w:szCs w:val="24"/>
        </w:rPr>
        <w:t>"</w:t>
      </w:r>
      <w:r w:rsidR="00CE51D6" w:rsidRPr="00145CF0">
        <w:rPr>
          <w:rFonts w:ascii="Times New Roman" w:eastAsia="Times New Roman" w:hAnsi="Times New Roman"/>
          <w:bCs/>
          <w:noProof w:val="0"/>
          <w:sz w:val="24"/>
          <w:szCs w:val="24"/>
        </w:rPr>
        <w:t xml:space="preserve"> </w:t>
      </w:r>
      <w:r w:rsidR="00CE51D6">
        <w:rPr>
          <w:rFonts w:ascii="Times New Roman" w:eastAsia="Times New Roman" w:hAnsi="Times New Roman"/>
          <w:noProof w:val="0"/>
          <w:sz w:val="24"/>
          <w:szCs w:val="24"/>
        </w:rPr>
        <w:t>(iepirkuma identifikācijas Nr.</w:t>
      </w:r>
      <w:r w:rsidR="00CE51D6" w:rsidRPr="00145CF0">
        <w:rPr>
          <w:rFonts w:ascii="Times New Roman" w:eastAsia="Times New Roman" w:hAnsi="Times New Roman"/>
          <w:noProof w:val="0"/>
          <w:sz w:val="24"/>
          <w:szCs w:val="24"/>
        </w:rPr>
        <w:t>IeVP</w:t>
      </w:r>
      <w:r w:rsidR="00CE51D6">
        <w:rPr>
          <w:rFonts w:ascii="Times New Roman" w:eastAsia="Times New Roman" w:hAnsi="Times New Roman"/>
          <w:noProof w:val="0"/>
          <w:sz w:val="24"/>
          <w:szCs w:val="24"/>
        </w:rPr>
        <w:t> </w:t>
      </w:r>
      <w:r w:rsidR="00CE51D6" w:rsidRPr="00145CF0">
        <w:rPr>
          <w:rFonts w:ascii="Times New Roman" w:eastAsia="Times New Roman" w:hAnsi="Times New Roman"/>
          <w:noProof w:val="0"/>
          <w:sz w:val="24"/>
          <w:szCs w:val="24"/>
        </w:rPr>
        <w:t>201</w:t>
      </w:r>
      <w:r w:rsidR="00CE51D6">
        <w:rPr>
          <w:rFonts w:ascii="Times New Roman" w:eastAsia="Times New Roman" w:hAnsi="Times New Roman"/>
          <w:noProof w:val="0"/>
          <w:sz w:val="24"/>
          <w:szCs w:val="24"/>
        </w:rPr>
        <w:t>7/61</w:t>
      </w:r>
      <w:r w:rsidR="00CE51D6" w:rsidRPr="00145CF0">
        <w:rPr>
          <w:rFonts w:ascii="Times New Roman" w:eastAsia="Times New Roman" w:hAnsi="Times New Roman"/>
          <w:noProof w:val="0"/>
          <w:sz w:val="24"/>
          <w:szCs w:val="24"/>
        </w:rPr>
        <w:t>)</w:t>
      </w:r>
      <w:r>
        <w:rPr>
          <w:rFonts w:ascii="Times New Roman" w:hAnsi="Times New Roman"/>
          <w:sz w:val="24"/>
          <w:szCs w:val="24"/>
        </w:rPr>
        <w:t>.</w:t>
      </w:r>
    </w:p>
    <w:p w:rsidR="00D13473" w:rsidRDefault="00D13473" w:rsidP="00D13473">
      <w:pPr>
        <w:pStyle w:val="NoSpacing"/>
        <w:ind w:firstLine="709"/>
        <w:jc w:val="both"/>
        <w:rPr>
          <w:rFonts w:ascii="Times New Roman" w:hAnsi="Times New Roman"/>
          <w:noProof w:val="0"/>
          <w:sz w:val="24"/>
          <w:szCs w:val="24"/>
        </w:rPr>
      </w:pPr>
      <w:r w:rsidRPr="00496D70">
        <w:rPr>
          <w:rFonts w:ascii="Times New Roman" w:hAnsi="Times New Roman"/>
          <w:noProof w:val="0"/>
          <w:sz w:val="24"/>
          <w:szCs w:val="24"/>
        </w:rPr>
        <w:t>2</w:t>
      </w:r>
      <w:r>
        <w:rPr>
          <w:rFonts w:ascii="Times New Roman" w:hAnsi="Times New Roman"/>
          <w:noProof w:val="0"/>
          <w:sz w:val="24"/>
          <w:szCs w:val="24"/>
        </w:rPr>
        <w:t>. Saskaņā ar Likuma</w:t>
      </w:r>
      <w:r w:rsidRPr="00496D70">
        <w:rPr>
          <w:rFonts w:ascii="Times New Roman" w:hAnsi="Times New Roman"/>
          <w:noProof w:val="0"/>
          <w:sz w:val="24"/>
          <w:szCs w:val="24"/>
        </w:rPr>
        <w:t xml:space="preserve"> </w:t>
      </w:r>
      <w:r w:rsidR="00B60813">
        <w:rPr>
          <w:rFonts w:ascii="Times New Roman" w:hAnsi="Times New Roman"/>
          <w:noProof w:val="0"/>
          <w:sz w:val="24"/>
          <w:szCs w:val="24"/>
        </w:rPr>
        <w:t>9.</w:t>
      </w:r>
      <w:r>
        <w:rPr>
          <w:rFonts w:ascii="Times New Roman" w:hAnsi="Times New Roman"/>
          <w:noProof w:val="0"/>
          <w:sz w:val="24"/>
          <w:szCs w:val="24"/>
        </w:rPr>
        <w:t> </w:t>
      </w:r>
      <w:r w:rsidR="00B60813">
        <w:rPr>
          <w:rFonts w:ascii="Times New Roman" w:hAnsi="Times New Roman"/>
          <w:noProof w:val="0"/>
          <w:sz w:val="24"/>
          <w:szCs w:val="24"/>
        </w:rPr>
        <w:t>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sidR="00B60813">
        <w:rPr>
          <w:rFonts w:ascii="Times New Roman" w:hAnsi="Times New Roman"/>
          <w:noProof w:val="0"/>
          <w:sz w:val="24"/>
          <w:szCs w:val="24"/>
        </w:rPr>
        <w:t>u</w:t>
      </w:r>
      <w:r w:rsidR="00CE51D6">
        <w:rPr>
          <w:rFonts w:ascii="Times New Roman" w:hAnsi="Times New Roman"/>
          <w:noProof w:val="0"/>
          <w:sz w:val="24"/>
          <w:szCs w:val="24"/>
        </w:rPr>
        <w:t>s</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p>
    <w:p w:rsidR="001F0D8D" w:rsidRPr="00033AFB" w:rsidRDefault="00D13473" w:rsidP="00D1347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Pr="00496D70">
        <w:rPr>
          <w:rFonts w:ascii="Times New Roman" w:hAnsi="Times New Roman"/>
          <w:noProof w:val="0"/>
          <w:sz w:val="24"/>
          <w:szCs w:val="24"/>
        </w:rPr>
        <w:t>.</w:t>
      </w:r>
      <w:r>
        <w:rPr>
          <w:rFonts w:ascii="Times New Roman" w:hAnsi="Times New Roman"/>
          <w:noProof w:val="0"/>
          <w:sz w:val="24"/>
          <w:szCs w:val="24"/>
        </w:rPr>
        <w:t> Saskaņā ar L</w:t>
      </w:r>
      <w:r w:rsidRPr="00496D70">
        <w:rPr>
          <w:rFonts w:ascii="Times New Roman" w:hAnsi="Times New Roman"/>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1A68B2">
        <w:rPr>
          <w:rFonts w:ascii="Times New Roman" w:eastAsia="Times New Roman" w:hAnsi="Times New Roman"/>
          <w:bCs/>
          <w:noProof w:val="0"/>
          <w:sz w:val="24"/>
          <w:szCs w:val="24"/>
        </w:rPr>
        <w:t> panta piec</w:t>
      </w:r>
      <w:r w:rsidR="001A68B2" w:rsidRPr="00145CF0">
        <w:rPr>
          <w:rFonts w:ascii="Times New Roman" w:eastAsia="Times New Roman" w:hAnsi="Times New Roman"/>
          <w:bCs/>
          <w:noProof w:val="0"/>
          <w:sz w:val="24"/>
          <w:szCs w:val="24"/>
        </w:rPr>
        <w:t xml:space="preserve">padsmito </w:t>
      </w:r>
      <w:r w:rsidRPr="00496D70">
        <w:rPr>
          <w:rFonts w:ascii="Times New Roman" w:hAnsi="Times New Roman"/>
          <w:noProof w:val="0"/>
          <w:sz w:val="24"/>
          <w:szCs w:val="24"/>
        </w:rPr>
        <w:t xml:space="preserve">daļu </w:t>
      </w:r>
      <w:r w:rsidR="001A68B2">
        <w:rPr>
          <w:rFonts w:ascii="Times New Roman" w:hAnsi="Times New Roman"/>
          <w:noProof w:val="0"/>
          <w:sz w:val="24"/>
          <w:szCs w:val="24"/>
        </w:rPr>
        <w:t>3 (</w:t>
      </w:r>
      <w:r w:rsidR="001A68B2" w:rsidRPr="00496D70">
        <w:rPr>
          <w:rFonts w:ascii="Times New Roman" w:hAnsi="Times New Roman"/>
          <w:noProof w:val="0"/>
          <w:sz w:val="24"/>
          <w:szCs w:val="24"/>
        </w:rPr>
        <w:t>tri</w:t>
      </w:r>
      <w:r w:rsidR="001A68B2">
        <w:rPr>
          <w:rFonts w:ascii="Times New Roman" w:hAnsi="Times New Roman"/>
          <w:noProof w:val="0"/>
          <w:sz w:val="24"/>
          <w:szCs w:val="24"/>
        </w:rPr>
        <w:t xml:space="preserve">ju) darbdienu laikā pēc </w:t>
      </w:r>
      <w:r w:rsidR="00B60813">
        <w:rPr>
          <w:rFonts w:ascii="Times New Roman" w:hAnsi="Times New Roman"/>
          <w:noProof w:val="0"/>
          <w:sz w:val="24"/>
          <w:szCs w:val="24"/>
        </w:rPr>
        <w:t>Iepirkumu</w:t>
      </w:r>
      <w:r w:rsidR="00B60813" w:rsidRPr="00496D70">
        <w:rPr>
          <w:rFonts w:ascii="Times New Roman" w:hAnsi="Times New Roman"/>
          <w:noProof w:val="0"/>
          <w:sz w:val="24"/>
          <w:szCs w:val="24"/>
        </w:rPr>
        <w:t xml:space="preserve"> komisijas </w:t>
      </w:r>
      <w:r w:rsidR="001A68B2" w:rsidRPr="00496D70">
        <w:rPr>
          <w:rFonts w:ascii="Times New Roman" w:hAnsi="Times New Roman"/>
          <w:noProof w:val="0"/>
          <w:sz w:val="24"/>
          <w:szCs w:val="24"/>
        </w:rPr>
        <w:t>lēmum</w:t>
      </w:r>
      <w:r w:rsidR="001A68B2">
        <w:rPr>
          <w:rFonts w:ascii="Times New Roman" w:hAnsi="Times New Roman"/>
          <w:noProof w:val="0"/>
          <w:sz w:val="24"/>
          <w:szCs w:val="24"/>
        </w:rPr>
        <w:t>a</w:t>
      </w:r>
      <w:r w:rsidR="001A68B2" w:rsidRPr="00496D70">
        <w:rPr>
          <w:rFonts w:ascii="Times New Roman" w:hAnsi="Times New Roman"/>
          <w:noProof w:val="0"/>
          <w:sz w:val="24"/>
          <w:szCs w:val="24"/>
        </w:rPr>
        <w:t xml:space="preserve"> pieņemšanas </w:t>
      </w:r>
      <w:r w:rsidR="001A68B2">
        <w:rPr>
          <w:rFonts w:ascii="Times New Roman" w:hAnsi="Times New Roman"/>
          <w:noProof w:val="0"/>
          <w:sz w:val="24"/>
          <w:szCs w:val="24"/>
        </w:rPr>
        <w:t>publicēt informāciju par iepirkuma pārtraukšanu publikācij</w:t>
      </w:r>
      <w:r w:rsidRPr="00496D70">
        <w:rPr>
          <w:rFonts w:ascii="Times New Roman" w:hAnsi="Times New Roman"/>
          <w:noProof w:val="0"/>
          <w:sz w:val="24"/>
          <w:szCs w:val="24"/>
        </w:rPr>
        <w:t xml:space="preserve">u </w:t>
      </w:r>
      <w:r w:rsidR="001A68B2">
        <w:rPr>
          <w:rFonts w:ascii="Times New Roman" w:hAnsi="Times New Roman"/>
          <w:noProof w:val="0"/>
          <w:sz w:val="24"/>
          <w:szCs w:val="24"/>
        </w:rPr>
        <w:t>vadības sistēmā</w:t>
      </w:r>
      <w:r w:rsidRPr="00496D70">
        <w:rPr>
          <w:rFonts w:ascii="Times New Roman" w:hAnsi="Times New Roman"/>
          <w:noProof w:val="0"/>
          <w:sz w:val="24"/>
          <w:szCs w:val="24"/>
        </w:rPr>
        <w:t>.</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95624A">
        <w:rPr>
          <w:rFonts w:ascii="Times New Roman" w:hAnsi="Times New Roman"/>
          <w:noProof w:val="0"/>
          <w:sz w:val="24"/>
          <w:szCs w:val="24"/>
        </w:rPr>
        <w:t>plkst.16.00</w:t>
      </w:r>
      <w:r>
        <w:rPr>
          <w:rFonts w:ascii="Times New Roman" w:hAnsi="Times New Roman"/>
          <w:noProof w:val="0"/>
          <w:sz w:val="24"/>
          <w:szCs w:val="24"/>
        </w:rPr>
        <w:t>.</w:t>
      </w:r>
    </w:p>
    <w:p w:rsidR="00F71FE6" w:rsidRPr="00BE11BD" w:rsidRDefault="00F71FE6" w:rsidP="00D13473">
      <w:pPr>
        <w:spacing w:before="360" w:after="12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Pr="00BE11BD" w:rsidRDefault="00F71FE6" w:rsidP="00FC16AF">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F71FE6" w:rsidRDefault="00F71FE6" w:rsidP="00D13473">
      <w:pPr>
        <w:tabs>
          <w:tab w:val="right" w:pos="9639"/>
        </w:tabs>
        <w:spacing w:before="36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sidR="0061413C">
        <w:rPr>
          <w:rFonts w:ascii="Times New Roman" w:eastAsia="Times New Roman" w:hAnsi="Times New Roman"/>
          <w:noProof w:val="0"/>
          <w:sz w:val="24"/>
          <w:szCs w:val="24"/>
        </w:rPr>
        <w:t>mu komisijas locekļi:</w:t>
      </w:r>
      <w:r w:rsidR="0061413C">
        <w:rPr>
          <w:rFonts w:ascii="Times New Roman" w:eastAsia="Times New Roman" w:hAnsi="Times New Roman"/>
          <w:noProof w:val="0"/>
          <w:sz w:val="24"/>
          <w:szCs w:val="24"/>
        </w:rPr>
        <w:tab/>
        <w:t>J. Barano</w:t>
      </w:r>
      <w:r>
        <w:rPr>
          <w:rFonts w:ascii="Times New Roman" w:eastAsia="Times New Roman" w:hAnsi="Times New Roman"/>
          <w:noProof w:val="0"/>
          <w:sz w:val="24"/>
          <w:szCs w:val="24"/>
        </w:rPr>
        <w:t>va</w:t>
      </w:r>
    </w:p>
    <w:p w:rsidR="00232CF2" w:rsidRDefault="00F71FE6" w:rsidP="00D13473">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61413C">
        <w:rPr>
          <w:rFonts w:ascii="Times New Roman" w:eastAsia="Times New Roman" w:hAnsi="Times New Roman"/>
          <w:noProof w:val="0"/>
          <w:sz w:val="24"/>
          <w:szCs w:val="24"/>
        </w:rPr>
        <w:t>G. Bogdanov</w:t>
      </w:r>
      <w:r w:rsidR="00232CF2">
        <w:rPr>
          <w:rFonts w:ascii="Times New Roman" w:eastAsia="Times New Roman" w:hAnsi="Times New Roman"/>
          <w:noProof w:val="0"/>
          <w:sz w:val="24"/>
          <w:szCs w:val="24"/>
        </w:rPr>
        <w:t>s</w:t>
      </w:r>
    </w:p>
    <w:p w:rsidR="00D13473" w:rsidRDefault="00D13473" w:rsidP="00225E1B">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                                                                                                             V. Vietniece</w:t>
      </w:r>
    </w:p>
    <w:sectPr w:rsidR="00D13473" w:rsidSect="00225E1B">
      <w:headerReference w:type="default" r:id="rId7"/>
      <w:pgSz w:w="11906" w:h="16838"/>
      <w:pgMar w:top="1134" w:right="1134"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4FE" w:rsidRDefault="004A14FE" w:rsidP="00171A05">
      <w:pPr>
        <w:spacing w:after="0" w:line="240" w:lineRule="auto"/>
      </w:pPr>
      <w:r>
        <w:separator/>
      </w:r>
    </w:p>
  </w:endnote>
  <w:endnote w:type="continuationSeparator" w:id="0">
    <w:p w:rsidR="004A14FE" w:rsidRDefault="004A14FE"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4FE" w:rsidRDefault="004A14FE" w:rsidP="00171A05">
      <w:pPr>
        <w:spacing w:after="0" w:line="240" w:lineRule="auto"/>
      </w:pPr>
      <w:r>
        <w:separator/>
      </w:r>
    </w:p>
  </w:footnote>
  <w:footnote w:type="continuationSeparator" w:id="0">
    <w:p w:rsidR="004A14FE" w:rsidRDefault="004A14FE"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89229337"/>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031365">
          <w:rPr>
            <w:rFonts w:ascii="Times New Roman" w:hAnsi="Times New Roman"/>
          </w:rPr>
          <w:t>4</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2EFC"/>
    <w:rsid w:val="000256BE"/>
    <w:rsid w:val="00031365"/>
    <w:rsid w:val="00054351"/>
    <w:rsid w:val="00060216"/>
    <w:rsid w:val="00065320"/>
    <w:rsid w:val="00071A38"/>
    <w:rsid w:val="000A6CFF"/>
    <w:rsid w:val="000F4896"/>
    <w:rsid w:val="000F4C97"/>
    <w:rsid w:val="000F5F5C"/>
    <w:rsid w:val="0010081A"/>
    <w:rsid w:val="00116B93"/>
    <w:rsid w:val="0012230E"/>
    <w:rsid w:val="001249EA"/>
    <w:rsid w:val="001266F9"/>
    <w:rsid w:val="00134B72"/>
    <w:rsid w:val="00144B61"/>
    <w:rsid w:val="001558C2"/>
    <w:rsid w:val="00171A05"/>
    <w:rsid w:val="00172851"/>
    <w:rsid w:val="00190BEA"/>
    <w:rsid w:val="001A5B62"/>
    <w:rsid w:val="001A68B2"/>
    <w:rsid w:val="001B6239"/>
    <w:rsid w:val="001C3910"/>
    <w:rsid w:val="001F0D8D"/>
    <w:rsid w:val="001F38A5"/>
    <w:rsid w:val="002010C7"/>
    <w:rsid w:val="00225133"/>
    <w:rsid w:val="00225E1B"/>
    <w:rsid w:val="00231E4C"/>
    <w:rsid w:val="00232CF2"/>
    <w:rsid w:val="00236C3F"/>
    <w:rsid w:val="00246568"/>
    <w:rsid w:val="00251A89"/>
    <w:rsid w:val="002809BA"/>
    <w:rsid w:val="002923E2"/>
    <w:rsid w:val="00297CF4"/>
    <w:rsid w:val="002A0B1F"/>
    <w:rsid w:val="002A56B7"/>
    <w:rsid w:val="002A7D94"/>
    <w:rsid w:val="002B4E75"/>
    <w:rsid w:val="002B5AEC"/>
    <w:rsid w:val="002E258A"/>
    <w:rsid w:val="002E45F2"/>
    <w:rsid w:val="002E6825"/>
    <w:rsid w:val="003160D9"/>
    <w:rsid w:val="0031693D"/>
    <w:rsid w:val="003264CA"/>
    <w:rsid w:val="003451DB"/>
    <w:rsid w:val="00345924"/>
    <w:rsid w:val="00352323"/>
    <w:rsid w:val="00354487"/>
    <w:rsid w:val="0037280A"/>
    <w:rsid w:val="00375738"/>
    <w:rsid w:val="00385FF6"/>
    <w:rsid w:val="00394C0A"/>
    <w:rsid w:val="003A5688"/>
    <w:rsid w:val="003A7685"/>
    <w:rsid w:val="003C7D9D"/>
    <w:rsid w:val="003D32F1"/>
    <w:rsid w:val="003D666A"/>
    <w:rsid w:val="003F6065"/>
    <w:rsid w:val="00407C5A"/>
    <w:rsid w:val="00410ACD"/>
    <w:rsid w:val="004247A9"/>
    <w:rsid w:val="00456C0E"/>
    <w:rsid w:val="0047120F"/>
    <w:rsid w:val="0047199F"/>
    <w:rsid w:val="004729F3"/>
    <w:rsid w:val="00496312"/>
    <w:rsid w:val="00497D52"/>
    <w:rsid w:val="004A14FE"/>
    <w:rsid w:val="004A2342"/>
    <w:rsid w:val="004A2482"/>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71AA"/>
    <w:rsid w:val="0055276E"/>
    <w:rsid w:val="005531D8"/>
    <w:rsid w:val="00570B29"/>
    <w:rsid w:val="00572201"/>
    <w:rsid w:val="00573F3A"/>
    <w:rsid w:val="00576F77"/>
    <w:rsid w:val="005802DF"/>
    <w:rsid w:val="0058257D"/>
    <w:rsid w:val="00583079"/>
    <w:rsid w:val="00596CA1"/>
    <w:rsid w:val="005C0FB4"/>
    <w:rsid w:val="005C4292"/>
    <w:rsid w:val="005C7319"/>
    <w:rsid w:val="005E24A4"/>
    <w:rsid w:val="005E29E0"/>
    <w:rsid w:val="005F44E2"/>
    <w:rsid w:val="006133E8"/>
    <w:rsid w:val="0061413C"/>
    <w:rsid w:val="00623F55"/>
    <w:rsid w:val="006261D1"/>
    <w:rsid w:val="00635FB9"/>
    <w:rsid w:val="006363D8"/>
    <w:rsid w:val="00640378"/>
    <w:rsid w:val="0065185B"/>
    <w:rsid w:val="00664819"/>
    <w:rsid w:val="0068256C"/>
    <w:rsid w:val="00692717"/>
    <w:rsid w:val="006A2AEB"/>
    <w:rsid w:val="006A767B"/>
    <w:rsid w:val="006C2E86"/>
    <w:rsid w:val="006C7519"/>
    <w:rsid w:val="00700F2B"/>
    <w:rsid w:val="00707C2A"/>
    <w:rsid w:val="0071608A"/>
    <w:rsid w:val="0072548A"/>
    <w:rsid w:val="00727E59"/>
    <w:rsid w:val="00742F2D"/>
    <w:rsid w:val="00754D77"/>
    <w:rsid w:val="00786F63"/>
    <w:rsid w:val="00791EC2"/>
    <w:rsid w:val="0079397E"/>
    <w:rsid w:val="007A00E2"/>
    <w:rsid w:val="007A22A5"/>
    <w:rsid w:val="007A4646"/>
    <w:rsid w:val="007A63A2"/>
    <w:rsid w:val="00804062"/>
    <w:rsid w:val="008106F6"/>
    <w:rsid w:val="00813ADC"/>
    <w:rsid w:val="00820985"/>
    <w:rsid w:val="00830050"/>
    <w:rsid w:val="00860F66"/>
    <w:rsid w:val="008771BD"/>
    <w:rsid w:val="00895D5E"/>
    <w:rsid w:val="008D1B00"/>
    <w:rsid w:val="0090115C"/>
    <w:rsid w:val="0090795E"/>
    <w:rsid w:val="00912502"/>
    <w:rsid w:val="00914150"/>
    <w:rsid w:val="00916632"/>
    <w:rsid w:val="0093566E"/>
    <w:rsid w:val="0095624A"/>
    <w:rsid w:val="00957D9D"/>
    <w:rsid w:val="00982667"/>
    <w:rsid w:val="00990977"/>
    <w:rsid w:val="009973FB"/>
    <w:rsid w:val="009A379E"/>
    <w:rsid w:val="009A4776"/>
    <w:rsid w:val="009D1D6A"/>
    <w:rsid w:val="009E553F"/>
    <w:rsid w:val="009E6140"/>
    <w:rsid w:val="009F1E6B"/>
    <w:rsid w:val="009F3D95"/>
    <w:rsid w:val="00A02733"/>
    <w:rsid w:val="00A1043E"/>
    <w:rsid w:val="00A43A30"/>
    <w:rsid w:val="00A462FF"/>
    <w:rsid w:val="00A5080F"/>
    <w:rsid w:val="00A66E17"/>
    <w:rsid w:val="00A721DD"/>
    <w:rsid w:val="00A80547"/>
    <w:rsid w:val="00A813BC"/>
    <w:rsid w:val="00AB6BA3"/>
    <w:rsid w:val="00AC7280"/>
    <w:rsid w:val="00AD6F98"/>
    <w:rsid w:val="00B15DB0"/>
    <w:rsid w:val="00B2386C"/>
    <w:rsid w:val="00B266A7"/>
    <w:rsid w:val="00B335EA"/>
    <w:rsid w:val="00B44057"/>
    <w:rsid w:val="00B60813"/>
    <w:rsid w:val="00B61282"/>
    <w:rsid w:val="00B73099"/>
    <w:rsid w:val="00B857E8"/>
    <w:rsid w:val="00B90BAE"/>
    <w:rsid w:val="00B9303C"/>
    <w:rsid w:val="00BA16FD"/>
    <w:rsid w:val="00BA670B"/>
    <w:rsid w:val="00BE02A2"/>
    <w:rsid w:val="00BE2516"/>
    <w:rsid w:val="00BE4F2B"/>
    <w:rsid w:val="00BF05C1"/>
    <w:rsid w:val="00BF757C"/>
    <w:rsid w:val="00C27291"/>
    <w:rsid w:val="00C422E5"/>
    <w:rsid w:val="00C619B1"/>
    <w:rsid w:val="00C75C88"/>
    <w:rsid w:val="00C90319"/>
    <w:rsid w:val="00C916C9"/>
    <w:rsid w:val="00C9496F"/>
    <w:rsid w:val="00C94C78"/>
    <w:rsid w:val="00CC3E84"/>
    <w:rsid w:val="00CD20E0"/>
    <w:rsid w:val="00CD4035"/>
    <w:rsid w:val="00CE0B27"/>
    <w:rsid w:val="00CE51D6"/>
    <w:rsid w:val="00CF086C"/>
    <w:rsid w:val="00CF32E5"/>
    <w:rsid w:val="00D113A6"/>
    <w:rsid w:val="00D13473"/>
    <w:rsid w:val="00D14FBE"/>
    <w:rsid w:val="00D158FC"/>
    <w:rsid w:val="00D365F3"/>
    <w:rsid w:val="00D602E9"/>
    <w:rsid w:val="00D6299F"/>
    <w:rsid w:val="00D64078"/>
    <w:rsid w:val="00D70D15"/>
    <w:rsid w:val="00D70E46"/>
    <w:rsid w:val="00D93F84"/>
    <w:rsid w:val="00D95E96"/>
    <w:rsid w:val="00DA6352"/>
    <w:rsid w:val="00DD0C89"/>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D556B"/>
    <w:rsid w:val="00EE336D"/>
    <w:rsid w:val="00EE36BB"/>
    <w:rsid w:val="00EE4F6A"/>
    <w:rsid w:val="00EE7332"/>
    <w:rsid w:val="00EF2F27"/>
    <w:rsid w:val="00EF479B"/>
    <w:rsid w:val="00F14AB6"/>
    <w:rsid w:val="00F157B1"/>
    <w:rsid w:val="00F313AC"/>
    <w:rsid w:val="00F4203A"/>
    <w:rsid w:val="00F47867"/>
    <w:rsid w:val="00F5507C"/>
    <w:rsid w:val="00F602F9"/>
    <w:rsid w:val="00F71FE6"/>
    <w:rsid w:val="00FA657C"/>
    <w:rsid w:val="00FB04F4"/>
    <w:rsid w:val="00FB4175"/>
    <w:rsid w:val="00FB6BA0"/>
    <w:rsid w:val="00FC0A9F"/>
    <w:rsid w:val="00FC16AF"/>
    <w:rsid w:val="00FC3DE5"/>
    <w:rsid w:val="00FC7368"/>
    <w:rsid w:val="00FD6CDD"/>
    <w:rsid w:val="00FE307B"/>
    <w:rsid w:val="00FE3109"/>
    <w:rsid w:val="00FE6E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BodyText">
    <w:name w:val="Body Text"/>
    <w:basedOn w:val="Normal"/>
    <w:link w:val="BodyTextChar"/>
    <w:uiPriority w:val="99"/>
    <w:semiHidden/>
    <w:unhideWhenUsed/>
    <w:rsid w:val="007A4646"/>
    <w:pPr>
      <w:spacing w:after="120"/>
    </w:pPr>
  </w:style>
  <w:style w:type="character" w:customStyle="1" w:styleId="BodyTextChar">
    <w:name w:val="Body Text Char"/>
    <w:basedOn w:val="DefaultParagraphFont"/>
    <w:link w:val="BodyText"/>
    <w:uiPriority w:val="99"/>
    <w:semiHidden/>
    <w:rsid w:val="007A4646"/>
    <w:rPr>
      <w:rFonts w:ascii="Calibri" w:eastAsia="Calibri" w:hAnsi="Calibri" w:cs="Times New Roman"/>
      <w:noProof/>
    </w:rPr>
  </w:style>
  <w:style w:type="paragraph" w:customStyle="1" w:styleId="naisf">
    <w:name w:val="naisf"/>
    <w:basedOn w:val="Normal"/>
    <w:rsid w:val="007A4646"/>
    <w:pPr>
      <w:spacing w:before="75" w:after="75" w:line="240" w:lineRule="auto"/>
      <w:ind w:firstLine="375"/>
      <w:jc w:val="both"/>
    </w:pPr>
    <w:rPr>
      <w:rFonts w:ascii="Times New Roman" w:eastAsia="Times New Roman" w:hAnsi="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128E8-C9F9-46A4-8C3A-394796280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7064</Words>
  <Characters>4027</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2017-08-23T09:16:00Z</cp:lastPrinted>
  <dcterms:created xsi:type="dcterms:W3CDTF">2017-08-23T09:16:00Z</dcterms:created>
  <dcterms:modified xsi:type="dcterms:W3CDTF">2017-08-23T09:33:00Z</dcterms:modified>
</cp:coreProperties>
</file>