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A6B6" w14:textId="77777777" w:rsidR="008D3C3B" w:rsidRDefault="008D3C3B" w:rsidP="008D3C3B">
      <w:pPr>
        <w:spacing w:line="256" w:lineRule="auto"/>
        <w:jc w:val="right"/>
        <w:rPr>
          <w:b/>
          <w:sz w:val="24"/>
          <w:szCs w:val="24"/>
        </w:rPr>
      </w:pPr>
      <w:r>
        <w:rPr>
          <w:b/>
          <w:sz w:val="24"/>
          <w:szCs w:val="24"/>
        </w:rPr>
        <w:t>2. pielikums</w:t>
      </w:r>
    </w:p>
    <w:p w14:paraId="59C978BF" w14:textId="77777777" w:rsidR="008D3C3B" w:rsidRDefault="008D3C3B" w:rsidP="008D3C3B">
      <w:pPr>
        <w:spacing w:line="256" w:lineRule="auto"/>
        <w:jc w:val="right"/>
        <w:rPr>
          <w:sz w:val="24"/>
          <w:szCs w:val="24"/>
        </w:rPr>
      </w:pPr>
      <w:r>
        <w:rPr>
          <w:sz w:val="24"/>
          <w:szCs w:val="24"/>
        </w:rPr>
        <w:t>Ieslodzījuma vietu pārvaldes</w:t>
      </w:r>
    </w:p>
    <w:p w14:paraId="212A0F0E" w14:textId="77777777" w:rsidR="008D3C3B" w:rsidRDefault="008D3C3B" w:rsidP="008D3C3B">
      <w:pPr>
        <w:spacing w:line="256" w:lineRule="auto"/>
        <w:jc w:val="right"/>
        <w:rPr>
          <w:b/>
          <w:sz w:val="24"/>
          <w:szCs w:val="24"/>
        </w:rPr>
      </w:pPr>
      <w:r>
        <w:rPr>
          <w:b/>
          <w:sz w:val="24"/>
          <w:szCs w:val="24"/>
        </w:rPr>
        <w:t xml:space="preserve">Nomas tiesību rakstiskas </w:t>
      </w:r>
    </w:p>
    <w:p w14:paraId="6590537E" w14:textId="77777777" w:rsidR="008D3C3B" w:rsidRDefault="008D3C3B" w:rsidP="008D3C3B">
      <w:pPr>
        <w:spacing w:line="256" w:lineRule="auto"/>
        <w:jc w:val="right"/>
        <w:rPr>
          <w:b/>
          <w:sz w:val="24"/>
          <w:szCs w:val="24"/>
        </w:rPr>
      </w:pPr>
      <w:r>
        <w:rPr>
          <w:b/>
          <w:sz w:val="24"/>
          <w:szCs w:val="24"/>
        </w:rPr>
        <w:t>izsoles nolikumam</w:t>
      </w:r>
    </w:p>
    <w:p w14:paraId="6CDFE695" w14:textId="77777777" w:rsidR="008D3C3B" w:rsidRDefault="008D3C3B" w:rsidP="008D3C3B">
      <w:pPr>
        <w:spacing w:line="256" w:lineRule="auto"/>
        <w:ind w:firstLine="567"/>
        <w:jc w:val="center"/>
        <w:rPr>
          <w:b/>
          <w:sz w:val="24"/>
          <w:szCs w:val="24"/>
        </w:rPr>
      </w:pPr>
      <w:r>
        <w:rPr>
          <w:sz w:val="24"/>
          <w:szCs w:val="24"/>
        </w:rPr>
        <w:t>Atbilstoši nomas tiesību rakstiskas izsoles nolikumam</w:t>
      </w:r>
    </w:p>
    <w:p w14:paraId="649DCBDA" w14:textId="77777777" w:rsidR="008D3C3B" w:rsidRDefault="008D3C3B" w:rsidP="008D3C3B">
      <w:pPr>
        <w:spacing w:line="256" w:lineRule="auto"/>
        <w:ind w:firstLine="567"/>
        <w:jc w:val="center"/>
        <w:rPr>
          <w:sz w:val="24"/>
          <w:szCs w:val="24"/>
        </w:rPr>
      </w:pPr>
      <w:r>
        <w:rPr>
          <w:sz w:val="24"/>
          <w:szCs w:val="24"/>
        </w:rPr>
        <w:t xml:space="preserve">par valsts nekustamā īpašuma nomu un preču mazumtirdzniecības pakalpojuma sniegšanu ieslodzītajiem Ieslodzījuma vietu pārvaldes ieslodzījuma vietās </w:t>
      </w:r>
    </w:p>
    <w:p w14:paraId="14A24F6D" w14:textId="77777777" w:rsidR="008D3C3B" w:rsidRDefault="008D3C3B" w:rsidP="008D3C3B">
      <w:pPr>
        <w:tabs>
          <w:tab w:val="left" w:pos="3450"/>
        </w:tabs>
        <w:spacing w:line="256" w:lineRule="auto"/>
        <w:ind w:right="-2"/>
        <w:rPr>
          <w:sz w:val="24"/>
          <w:szCs w:val="24"/>
        </w:rPr>
      </w:pPr>
    </w:p>
    <w:p w14:paraId="31CDCB49" w14:textId="77777777" w:rsidR="008D3C3B" w:rsidRDefault="008D3C3B" w:rsidP="008D3C3B">
      <w:pPr>
        <w:tabs>
          <w:tab w:val="left" w:pos="3450"/>
        </w:tabs>
        <w:spacing w:line="256" w:lineRule="auto"/>
        <w:ind w:right="-2"/>
        <w:jc w:val="center"/>
        <w:rPr>
          <w:b/>
          <w:sz w:val="24"/>
          <w:szCs w:val="24"/>
        </w:rPr>
      </w:pPr>
      <w:r>
        <w:rPr>
          <w:b/>
          <w:sz w:val="24"/>
          <w:szCs w:val="24"/>
        </w:rPr>
        <w:t>Apliecinājums</w:t>
      </w:r>
    </w:p>
    <w:p w14:paraId="3EFC7C52" w14:textId="77777777" w:rsidR="008D3C3B" w:rsidRDefault="008D3C3B" w:rsidP="008D3C3B">
      <w:pPr>
        <w:tabs>
          <w:tab w:val="left" w:pos="7920"/>
        </w:tabs>
        <w:spacing w:line="256" w:lineRule="auto"/>
        <w:ind w:right="-2"/>
        <w:rPr>
          <w:i/>
          <w:sz w:val="24"/>
          <w:szCs w:val="24"/>
        </w:rPr>
      </w:pPr>
      <w:r>
        <w:rPr>
          <w:i/>
          <w:sz w:val="24"/>
          <w:szCs w:val="24"/>
        </w:rPr>
        <w:t>(Vieta)</w:t>
      </w:r>
      <w:r>
        <w:rPr>
          <w:sz w:val="24"/>
          <w:szCs w:val="24"/>
        </w:rPr>
        <w:t xml:space="preserve">, </w:t>
      </w:r>
      <w:r>
        <w:rPr>
          <w:i/>
          <w:sz w:val="24"/>
          <w:szCs w:val="24"/>
        </w:rPr>
        <w:t>(Datums)                                                                                                     (Dok. Nr.)</w:t>
      </w:r>
    </w:p>
    <w:p w14:paraId="773A3698" w14:textId="77777777" w:rsidR="008D3C3B" w:rsidRDefault="008D3C3B" w:rsidP="008D3C3B">
      <w:pPr>
        <w:spacing w:line="256" w:lineRule="auto"/>
        <w:ind w:right="-2"/>
        <w:jc w:val="right"/>
        <w:rPr>
          <w:sz w:val="24"/>
          <w:szCs w:val="24"/>
        </w:rPr>
      </w:pPr>
    </w:p>
    <w:p w14:paraId="0F4D5923" w14:textId="77777777" w:rsidR="008D3C3B" w:rsidRDefault="008D3C3B" w:rsidP="008D3C3B">
      <w:pPr>
        <w:spacing w:line="256" w:lineRule="auto"/>
        <w:ind w:firstLine="567"/>
        <w:jc w:val="both"/>
        <w:rPr>
          <w:sz w:val="24"/>
          <w:szCs w:val="24"/>
          <w:lang w:eastAsia="lv-LV"/>
        </w:rPr>
      </w:pPr>
      <w:bookmarkStart w:id="0" w:name="_Hlk182997377"/>
      <w:r w:rsidRPr="25C74392">
        <w:rPr>
          <w:sz w:val="24"/>
          <w:szCs w:val="24"/>
          <w:lang w:eastAsia="lv-LV"/>
        </w:rPr>
        <w:t>Ar šo, _______________________</w:t>
      </w:r>
      <w:r w:rsidRPr="25C74392">
        <w:rPr>
          <w:i/>
          <w:iCs/>
          <w:sz w:val="24"/>
          <w:szCs w:val="24"/>
          <w:lang w:eastAsia="lv-LV"/>
        </w:rPr>
        <w:t xml:space="preserve">(pretendenta nosaukums), </w:t>
      </w:r>
      <w:r w:rsidRPr="25C74392">
        <w:rPr>
          <w:sz w:val="24"/>
          <w:szCs w:val="24"/>
          <w:lang w:eastAsia="lv-LV"/>
        </w:rPr>
        <w:t xml:space="preserve">reģ. Nr. _________, (turpmāk </w:t>
      </w:r>
      <w:r w:rsidRPr="25C74392">
        <w:rPr>
          <w:sz w:val="24"/>
          <w:szCs w:val="24"/>
        </w:rPr>
        <w:t>–</w:t>
      </w:r>
      <w:r w:rsidRPr="25C74392">
        <w:rPr>
          <w:sz w:val="24"/>
          <w:szCs w:val="24"/>
          <w:lang w:eastAsia="lv-LV"/>
        </w:rPr>
        <w:t xml:space="preserve"> Pretendents) apliecinām savu gatavību izpildīt un ievērot nomas tiesību rakstiskas izsoles par valsts nekustamā īpašuma nomu </w:t>
      </w:r>
      <w:r w:rsidRPr="25C74392">
        <w:rPr>
          <w:sz w:val="24"/>
          <w:szCs w:val="24"/>
        </w:rPr>
        <w:t xml:space="preserve">un preču mazumtirdzniecības pakalpojuma sniegšanu </w:t>
      </w:r>
      <w:r w:rsidRPr="25C74392">
        <w:rPr>
          <w:sz w:val="24"/>
          <w:szCs w:val="24"/>
          <w:lang w:eastAsia="lv-LV"/>
        </w:rPr>
        <w:t xml:space="preserve">ieslodzītajiem Ieslodzījuma vietu pārvaldes ieslodzījuma vietās prasības un apliecinu, </w:t>
      </w:r>
      <w:bookmarkEnd w:id="0"/>
      <w:r w:rsidRPr="25C74392">
        <w:rPr>
          <w:sz w:val="24"/>
          <w:szCs w:val="24"/>
        </w:rPr>
        <w:t xml:space="preserve">ka pirms preču mazumtirdzniecības pakalpojuma sniegšanas uzsākšanas </w:t>
      </w:r>
      <w:r w:rsidRPr="25C74392">
        <w:rPr>
          <w:sz w:val="24"/>
          <w:szCs w:val="24"/>
          <w:lang w:eastAsia="lv-LV"/>
        </w:rPr>
        <w:t>Pretendenta</w:t>
      </w:r>
      <w:r w:rsidRPr="25C74392">
        <w:rPr>
          <w:sz w:val="24"/>
          <w:szCs w:val="24"/>
        </w:rPr>
        <w:t xml:space="preserve"> darbinieki tiks informēti par Pārvaldes (tajā skaitā ieslodzījuma vietas) veiktajām pārbaudēm tās teritorijā, kā arī, par nepieciešamību izpildīt un pakļauties Pārvaldes amatpersonu likumīgajām prasībām.</w:t>
      </w:r>
    </w:p>
    <w:p w14:paraId="25614731" w14:textId="77777777" w:rsidR="008D3C3B" w:rsidRDefault="008D3C3B" w:rsidP="008D3C3B">
      <w:pPr>
        <w:spacing w:line="256" w:lineRule="auto"/>
        <w:ind w:firstLine="567"/>
        <w:jc w:val="both"/>
        <w:rPr>
          <w:sz w:val="24"/>
          <w:szCs w:val="24"/>
        </w:rPr>
      </w:pPr>
      <w:bookmarkStart w:id="1" w:name="_Hlk188948568"/>
      <w:r>
        <w:rPr>
          <w:sz w:val="24"/>
          <w:szCs w:val="24"/>
        </w:rPr>
        <w:t>Iebraucot transporta kontroles caurlaides punkta transportlīdzekļu pārbaudes laukumā, transportlīdzekļa vadītājam nepieciešams:</w:t>
      </w:r>
    </w:p>
    <w:p w14:paraId="1FF4F47A" w14:textId="77777777" w:rsidR="008D3C3B" w:rsidRDefault="008D3C3B" w:rsidP="008D3C3B">
      <w:pPr>
        <w:spacing w:line="256" w:lineRule="auto"/>
        <w:ind w:firstLine="567"/>
        <w:jc w:val="both"/>
        <w:rPr>
          <w:sz w:val="24"/>
          <w:szCs w:val="24"/>
        </w:rPr>
      </w:pPr>
      <w:r>
        <w:rPr>
          <w:sz w:val="24"/>
          <w:szCs w:val="24"/>
        </w:rPr>
        <w:tab/>
        <w:t>1. izslēgt transportlīdzekļa motoru un ieslēgt transportlīdzekļa stāvbremzi;</w:t>
      </w:r>
    </w:p>
    <w:p w14:paraId="13539F59" w14:textId="77777777" w:rsidR="008D3C3B" w:rsidRDefault="008D3C3B" w:rsidP="008D3C3B">
      <w:pPr>
        <w:spacing w:line="256" w:lineRule="auto"/>
        <w:ind w:firstLine="567"/>
        <w:jc w:val="both"/>
        <w:rPr>
          <w:sz w:val="24"/>
          <w:szCs w:val="24"/>
        </w:rPr>
      </w:pPr>
      <w:r>
        <w:rPr>
          <w:sz w:val="24"/>
          <w:szCs w:val="24"/>
        </w:rPr>
        <w:tab/>
        <w:t xml:space="preserve">2. iziet no transportlīdzekļa kabīnes un sagatavot transportlīdzekli un kravu apskatei; </w:t>
      </w:r>
    </w:p>
    <w:p w14:paraId="0A14E790" w14:textId="77777777" w:rsidR="008D3C3B" w:rsidRDefault="008D3C3B" w:rsidP="008D3C3B">
      <w:pPr>
        <w:spacing w:line="256" w:lineRule="auto"/>
        <w:ind w:firstLine="567"/>
        <w:jc w:val="both"/>
        <w:rPr>
          <w:sz w:val="24"/>
          <w:szCs w:val="24"/>
        </w:rPr>
      </w:pPr>
      <w:r>
        <w:rPr>
          <w:sz w:val="24"/>
          <w:szCs w:val="24"/>
        </w:rPr>
        <w:tab/>
        <w:t xml:space="preserve">3. izpildīt un pakļauties transporta kontroles caurlaides punkta apsarga vai kontroles caurlaides punkta apsarga likumīgajām prasībām, kuras apsargs pilda saskaņā ar Ieslodzījuma vietu pārvaldes likuma 22. panta pirmās daļas 4. punktu, proti, nodod priekšmetus, izstrādājumus un vielas, kuras aizliegts ienest, lietot un glabāt ieslodzījuma vietā [..], kas izriet no šāda tiesiskā regulējuma: </w:t>
      </w:r>
    </w:p>
    <w:p w14:paraId="5F0424B3" w14:textId="77777777" w:rsidR="008D3C3B" w:rsidRDefault="008D3C3B" w:rsidP="008D3C3B">
      <w:pPr>
        <w:spacing w:line="256" w:lineRule="auto"/>
        <w:ind w:firstLine="720"/>
        <w:jc w:val="both"/>
        <w:rPr>
          <w:sz w:val="24"/>
          <w:szCs w:val="24"/>
        </w:rPr>
      </w:pPr>
      <w:r>
        <w:rPr>
          <w:sz w:val="24"/>
          <w:szCs w:val="24"/>
        </w:rPr>
        <w:t>3.1. Krimināllikums;</w:t>
      </w:r>
    </w:p>
    <w:p w14:paraId="3D00D95E" w14:textId="77777777" w:rsidR="008D3C3B" w:rsidRDefault="008D3C3B" w:rsidP="008D3C3B">
      <w:pPr>
        <w:spacing w:line="256" w:lineRule="auto"/>
        <w:ind w:firstLine="720"/>
        <w:jc w:val="both"/>
        <w:rPr>
          <w:sz w:val="24"/>
          <w:szCs w:val="24"/>
        </w:rPr>
      </w:pPr>
      <w:r>
        <w:rPr>
          <w:sz w:val="24"/>
          <w:szCs w:val="24"/>
        </w:rPr>
        <w:t>3.2. Latvijas Sodu izpildes kodekss;</w:t>
      </w:r>
    </w:p>
    <w:p w14:paraId="649FCC07" w14:textId="77777777" w:rsidR="008D3C3B" w:rsidRDefault="008D3C3B" w:rsidP="008D3C3B">
      <w:pPr>
        <w:spacing w:line="256" w:lineRule="auto"/>
        <w:ind w:firstLine="720"/>
        <w:jc w:val="both"/>
        <w:rPr>
          <w:sz w:val="24"/>
          <w:szCs w:val="24"/>
        </w:rPr>
      </w:pPr>
      <w:r w:rsidRPr="0E5741DE">
        <w:rPr>
          <w:sz w:val="24"/>
          <w:szCs w:val="24"/>
        </w:rPr>
        <w:t>3.3. </w:t>
      </w:r>
      <w:r w:rsidRPr="001A6033">
        <w:rPr>
          <w:sz w:val="24"/>
          <w:szCs w:val="24"/>
        </w:rPr>
        <w:t>Ministru kabineta 2025. gada 26. augusta noteikumu Nr. 523 "</w:t>
      </w:r>
      <w:bookmarkStart w:id="2" w:name="_Hlk179986273"/>
      <w:r w:rsidRPr="001A6033">
        <w:rPr>
          <w:sz w:val="24"/>
          <w:szCs w:val="24"/>
        </w:rPr>
        <w:t>Brīvības atņemšanas iestādes iekšējās kārtības noteikumi</w:t>
      </w:r>
      <w:bookmarkEnd w:id="2"/>
      <w:r w:rsidRPr="001A6033">
        <w:rPr>
          <w:sz w:val="24"/>
          <w:szCs w:val="24"/>
        </w:rPr>
        <w:t>" 2. pielikums;</w:t>
      </w:r>
    </w:p>
    <w:p w14:paraId="6163236C" w14:textId="77777777" w:rsidR="008D3C3B" w:rsidRDefault="008D3C3B" w:rsidP="008D3C3B">
      <w:pPr>
        <w:spacing w:line="256" w:lineRule="auto"/>
        <w:ind w:firstLine="720"/>
        <w:jc w:val="both"/>
        <w:rPr>
          <w:sz w:val="24"/>
          <w:szCs w:val="24"/>
        </w:rPr>
      </w:pPr>
      <w:r>
        <w:rPr>
          <w:sz w:val="24"/>
          <w:szCs w:val="24"/>
        </w:rPr>
        <w:t>3.4. Ministru kabineta 2007. gada 27. novembra noteikumu Nr. 800 "Izmeklēšanas cietuma iekšējās kārtības noteikumi" 4. un 5. pielikums;</w:t>
      </w:r>
    </w:p>
    <w:p w14:paraId="3352E23E" w14:textId="77777777" w:rsidR="008D3C3B" w:rsidRDefault="008D3C3B" w:rsidP="008D3C3B">
      <w:pPr>
        <w:spacing w:line="256" w:lineRule="auto"/>
        <w:ind w:firstLine="720"/>
        <w:jc w:val="both"/>
        <w:rPr>
          <w:sz w:val="24"/>
          <w:szCs w:val="24"/>
        </w:rPr>
      </w:pPr>
      <w:r>
        <w:rPr>
          <w:sz w:val="24"/>
          <w:szCs w:val="24"/>
        </w:rPr>
        <w:t>4. nodot īslaicīgā glabāšanā mobilo telefonu, tā piederumus un sastāvdaļas (SIM karte, akumulators, uzlādes ierīce u.c.) vai citus sakaru līdzekļus, datu nesējus (dažāda veida atmiņas kartes, CD vai DVD diskus u.c.), modemu, rūteri, kā arī jebkuru citu priekšmetu, izstrādājumu un vielu, ko ieslodzītais var izmantot bēgšanai, uzbrukumam vai citai prettiesiskai darbībai, izņemot, ja šo priekšmetu, izstrādājumu un vielu Pārvalde (vai Pārvaldes pilnvarotā persona) ir atļāvusi ienest ieslodzījuma vietā.</w:t>
      </w:r>
    </w:p>
    <w:p w14:paraId="0DBE2F9B" w14:textId="77777777" w:rsidR="008D3C3B" w:rsidRDefault="008D3C3B" w:rsidP="008D3C3B">
      <w:pPr>
        <w:spacing w:line="256" w:lineRule="auto"/>
        <w:jc w:val="both"/>
        <w:rPr>
          <w:sz w:val="24"/>
          <w:szCs w:val="24"/>
        </w:rPr>
      </w:pPr>
      <w:r>
        <w:rPr>
          <w:sz w:val="24"/>
          <w:szCs w:val="24"/>
        </w:rPr>
        <w:tab/>
        <w:t>Pārvaldes amatpersonas ieslodzījuma vietas teritorijā ir tiesīgi konfiscēt narkotiskās un psihotropās vielas, sprāgstošas vielas, ieročus, munīciju, alkoholiskos dzērienus – priekšmetus, izstrādājumus un vielas, kuras aizliegts ienest, lietot un glabāt ieslodzījuma vietā.</w:t>
      </w:r>
    </w:p>
    <w:p w14:paraId="543500EF" w14:textId="77777777" w:rsidR="008D3C3B" w:rsidRDefault="008D3C3B" w:rsidP="008D3C3B">
      <w:pPr>
        <w:spacing w:line="256" w:lineRule="auto"/>
        <w:jc w:val="both"/>
        <w:rPr>
          <w:sz w:val="24"/>
          <w:szCs w:val="24"/>
        </w:rPr>
      </w:pPr>
      <w:r>
        <w:rPr>
          <w:sz w:val="24"/>
          <w:szCs w:val="24"/>
        </w:rPr>
        <w:lastRenderedPageBreak/>
        <w:tab/>
        <w:t>Pretendents informē savus darbiniekus par to, ka viņiem jāievēro un jāizpilda Nolikuma, nomas līguma nosacījumi, Latvijas Republikā spēkā esošie normatīvie akti, kas regulē režīma pamatnoteikumus ieslodzījuma vietās, tajā skaitā veic savu darbinieku instruktāžu.</w:t>
      </w:r>
    </w:p>
    <w:p w14:paraId="1071B070" w14:textId="77777777" w:rsidR="008D3C3B" w:rsidRDefault="008D3C3B" w:rsidP="008D3C3B">
      <w:pPr>
        <w:spacing w:line="256" w:lineRule="auto"/>
        <w:ind w:firstLine="426"/>
        <w:jc w:val="both"/>
        <w:rPr>
          <w:sz w:val="24"/>
          <w:szCs w:val="24"/>
        </w:rPr>
      </w:pPr>
      <w:r>
        <w:rPr>
          <w:sz w:val="24"/>
          <w:szCs w:val="24"/>
        </w:rPr>
        <w:tab/>
        <w:t>Ja Pretendenta darbinieks atsakās izpildīt transporta kontroles caurlaides punkta apsarga vai kontroles caurlaides punkta apsarga likumīgās prasības, tad Pretendenta darbiniekam var tikt kavēta vai atteikta ieslodzījuma vietas apmeklēšana un ja šī iemesla dēļ ir kavēta pakalpojuma sniegšana, tad uzskatāms, ka Pretendenta vainas dēļ notika pakalpojuma sniegšanas kavējums ar visām no tā izrietošām sankcijām.</w:t>
      </w:r>
    </w:p>
    <w:bookmarkEnd w:id="1"/>
    <w:p w14:paraId="748A6378" w14:textId="77777777" w:rsidR="008D3C3B" w:rsidRDefault="008D3C3B" w:rsidP="008D3C3B">
      <w:pPr>
        <w:spacing w:line="256" w:lineRule="auto"/>
        <w:ind w:right="-2"/>
        <w:jc w:val="right"/>
        <w:rPr>
          <w:sz w:val="24"/>
          <w:szCs w:val="24"/>
        </w:rPr>
      </w:pPr>
    </w:p>
    <w:p w14:paraId="7C16E7EE" w14:textId="64411CE2" w:rsidR="008D3C3B" w:rsidRDefault="008D3C3B" w:rsidP="008D3C3B">
      <w:pPr>
        <w:spacing w:line="256" w:lineRule="auto"/>
        <w:ind w:right="-2"/>
        <w:rPr>
          <w:sz w:val="24"/>
          <w:szCs w:val="24"/>
        </w:rPr>
      </w:pPr>
      <w:r>
        <w:rPr>
          <w:sz w:val="24"/>
          <w:szCs w:val="24"/>
        </w:rPr>
        <w:t>Paraksttiesīgā persona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sz w:val="24"/>
          <w:szCs w:val="24"/>
        </w:rPr>
        <w:t>(Vārds Uzvārds)</w:t>
      </w:r>
    </w:p>
    <w:p w14:paraId="15CC80B0" w14:textId="77777777" w:rsidR="008D3C3B" w:rsidRDefault="008D3C3B" w:rsidP="008D3C3B">
      <w:pPr>
        <w:spacing w:line="256" w:lineRule="auto"/>
        <w:ind w:right="-2"/>
        <w:jc w:val="right"/>
        <w:rPr>
          <w:sz w:val="24"/>
          <w:szCs w:val="24"/>
        </w:rPr>
      </w:pPr>
    </w:p>
    <w:p w14:paraId="617190B7" w14:textId="77777777" w:rsidR="008D3C3B" w:rsidRDefault="008D3C3B" w:rsidP="008D3C3B">
      <w:pPr>
        <w:tabs>
          <w:tab w:val="left" w:pos="450"/>
        </w:tabs>
        <w:spacing w:line="256" w:lineRule="auto"/>
        <w:ind w:right="-2"/>
        <w:rPr>
          <w:sz w:val="24"/>
          <w:szCs w:val="24"/>
        </w:rPr>
      </w:pPr>
      <w:r>
        <w:rPr>
          <w:sz w:val="24"/>
          <w:szCs w:val="24"/>
        </w:rPr>
        <w:tab/>
        <w:t>z.v.</w:t>
      </w:r>
    </w:p>
    <w:p w14:paraId="5CC99FD5" w14:textId="77777777" w:rsidR="008D3C3B" w:rsidRDefault="008D3C3B" w:rsidP="008D3C3B">
      <w:pPr>
        <w:spacing w:line="256" w:lineRule="auto"/>
        <w:ind w:firstLine="567"/>
        <w:jc w:val="center"/>
        <w:rPr>
          <w:sz w:val="24"/>
          <w:szCs w:val="24"/>
        </w:rPr>
      </w:pPr>
    </w:p>
    <w:p w14:paraId="3E05A909" w14:textId="77777777" w:rsidR="008D3C3B" w:rsidRDefault="008D3C3B" w:rsidP="008D3C3B">
      <w:pPr>
        <w:spacing w:line="256" w:lineRule="auto"/>
        <w:ind w:firstLine="567"/>
        <w:jc w:val="center"/>
        <w:rPr>
          <w:sz w:val="24"/>
          <w:szCs w:val="24"/>
        </w:rPr>
      </w:pPr>
    </w:p>
    <w:p w14:paraId="7A32A55E" w14:textId="77777777" w:rsidR="008D3C3B" w:rsidRDefault="008D3C3B" w:rsidP="008D3C3B">
      <w:pPr>
        <w:spacing w:line="256" w:lineRule="auto"/>
        <w:rPr>
          <w:sz w:val="24"/>
          <w:szCs w:val="24"/>
        </w:rPr>
      </w:pPr>
    </w:p>
    <w:p w14:paraId="03FF04F5" w14:textId="77777777" w:rsidR="008D3C3B" w:rsidRDefault="008D3C3B" w:rsidP="008D3C3B">
      <w:pPr>
        <w:spacing w:line="256" w:lineRule="auto"/>
        <w:rPr>
          <w:bCs/>
          <w:sz w:val="24"/>
          <w:szCs w:val="24"/>
        </w:rPr>
      </w:pPr>
    </w:p>
    <w:p w14:paraId="696DDD94" w14:textId="77777777" w:rsidR="008D3C3B" w:rsidRDefault="008D3C3B" w:rsidP="008D3C3B">
      <w:pPr>
        <w:spacing w:line="256" w:lineRule="auto"/>
        <w:rPr>
          <w:bCs/>
          <w:sz w:val="24"/>
          <w:szCs w:val="24"/>
        </w:rPr>
      </w:pPr>
    </w:p>
    <w:p w14:paraId="3D25F3EB" w14:textId="77777777" w:rsidR="00E22703" w:rsidRDefault="00E22703"/>
    <w:sectPr w:rsidR="00E227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3B"/>
    <w:rsid w:val="00111B0D"/>
    <w:rsid w:val="00191AEB"/>
    <w:rsid w:val="0051213D"/>
    <w:rsid w:val="008D3C3B"/>
    <w:rsid w:val="00E2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54CE"/>
  <w15:chartTrackingRefBased/>
  <w15:docId w15:val="{00289601-133C-451C-AF31-5F6274D5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3B"/>
    <w:pPr>
      <w:spacing w:after="0" w:line="240" w:lineRule="auto"/>
    </w:pPr>
    <w:rPr>
      <w:rFonts w:ascii="Times New Roman" w:eastAsia="Times New Roman" w:hAnsi="Times New Roman" w:cs="Times New Roman"/>
      <w:kern w:val="0"/>
      <w:sz w:val="26"/>
      <w:szCs w:val="20"/>
      <w14:ligatures w14:val="none"/>
    </w:rPr>
  </w:style>
  <w:style w:type="paragraph" w:styleId="Heading1">
    <w:name w:val="heading 1"/>
    <w:basedOn w:val="Normal"/>
    <w:next w:val="Normal"/>
    <w:link w:val="Heading1Char"/>
    <w:uiPriority w:val="9"/>
    <w:qFormat/>
    <w:rsid w:val="008D3C3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3C3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3C3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3C3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3C3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3C3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3C3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3C3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3C3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C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C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C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C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C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C3B"/>
    <w:rPr>
      <w:rFonts w:eastAsiaTheme="majorEastAsia" w:cstheme="majorBidi"/>
      <w:color w:val="272727" w:themeColor="text1" w:themeTint="D8"/>
    </w:rPr>
  </w:style>
  <w:style w:type="paragraph" w:styleId="Title">
    <w:name w:val="Title"/>
    <w:basedOn w:val="Normal"/>
    <w:next w:val="Normal"/>
    <w:link w:val="TitleChar"/>
    <w:uiPriority w:val="10"/>
    <w:qFormat/>
    <w:rsid w:val="008D3C3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3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C3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3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C3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3C3B"/>
    <w:rPr>
      <w:i/>
      <w:iCs/>
      <w:color w:val="404040" w:themeColor="text1" w:themeTint="BF"/>
    </w:rPr>
  </w:style>
  <w:style w:type="paragraph" w:styleId="ListParagraph">
    <w:name w:val="List Paragraph"/>
    <w:basedOn w:val="Normal"/>
    <w:uiPriority w:val="34"/>
    <w:qFormat/>
    <w:rsid w:val="008D3C3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D3C3B"/>
    <w:rPr>
      <w:i/>
      <w:iCs/>
      <w:color w:val="0F4761" w:themeColor="accent1" w:themeShade="BF"/>
    </w:rPr>
  </w:style>
  <w:style w:type="paragraph" w:styleId="IntenseQuote">
    <w:name w:val="Intense Quote"/>
    <w:basedOn w:val="Normal"/>
    <w:next w:val="Normal"/>
    <w:link w:val="IntenseQuoteChar"/>
    <w:uiPriority w:val="30"/>
    <w:qFormat/>
    <w:rsid w:val="008D3C3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3C3B"/>
    <w:rPr>
      <w:i/>
      <w:iCs/>
      <w:color w:val="0F4761" w:themeColor="accent1" w:themeShade="BF"/>
    </w:rPr>
  </w:style>
  <w:style w:type="character" w:styleId="IntenseReference">
    <w:name w:val="Intense Reference"/>
    <w:basedOn w:val="DefaultParagraphFont"/>
    <w:uiPriority w:val="32"/>
    <w:qFormat/>
    <w:rsid w:val="008D3C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2292</Words>
  <Characters>1308</Characters>
  <Application>Microsoft Office Word</Application>
  <DocSecurity>0</DocSecurity>
  <Lines>10</Lines>
  <Paragraphs>7</Paragraphs>
  <ScaleCrop>false</ScaleCrop>
  <Company>TS</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2</cp:revision>
  <dcterms:created xsi:type="dcterms:W3CDTF">2025-11-28T15:42:00Z</dcterms:created>
  <dcterms:modified xsi:type="dcterms:W3CDTF">2025-11-28T15:43:00Z</dcterms:modified>
</cp:coreProperties>
</file>