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EF479B" w:rsidRPr="00223F90" w:rsidRDefault="00EF479B" w:rsidP="00791EC2">
      <w:pPr>
        <w:pStyle w:val="NoSpacing"/>
        <w:jc w:val="center"/>
        <w:rPr>
          <w:rFonts w:ascii="Times New Roman" w:hAnsi="Times New Roman"/>
          <w:b/>
          <w:sz w:val="24"/>
          <w:szCs w:val="24"/>
        </w:rPr>
      </w:pPr>
      <w:r>
        <w:rPr>
          <w:rFonts w:ascii="Times New Roman" w:hAnsi="Times New Roman"/>
          <w:b/>
          <w:sz w:val="24"/>
          <w:szCs w:val="24"/>
        </w:rPr>
        <w:t>„</w:t>
      </w:r>
      <w:r w:rsidR="00071A38" w:rsidRPr="006C5BAA">
        <w:rPr>
          <w:rFonts w:ascii="Times New Roman" w:hAnsi="Times New Roman"/>
          <w:b/>
          <w:sz w:val="24"/>
          <w:szCs w:val="24"/>
        </w:rPr>
        <w:t>Olaines  cietuma (Latvijas Cietumu slimnīca) un Cēsu Audzināšanas iestādes nepilngadīgajiem ēku tehniskā apsekošana</w:t>
      </w:r>
      <w:r w:rsidRPr="00223F90">
        <w:rPr>
          <w:rFonts w:ascii="Times New Roman" w:hAnsi="Times New Roman"/>
          <w:b/>
          <w:sz w:val="24"/>
          <w:szCs w:val="24"/>
        </w:rPr>
        <w:t>”</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w:t>
      </w:r>
      <w:r>
        <w:rPr>
          <w:rFonts w:ascii="Times New Roman" w:hAnsi="Times New Roman"/>
          <w:sz w:val="24"/>
          <w:szCs w:val="24"/>
        </w:rPr>
        <w:t xml:space="preserve">irkuma identifikācijas numurs </w:t>
      </w:r>
      <w:r w:rsidRPr="00223F90">
        <w:rPr>
          <w:rFonts w:ascii="Times New Roman" w:hAnsi="Times New Roman"/>
          <w:sz w:val="24"/>
          <w:szCs w:val="24"/>
        </w:rPr>
        <w:t>IeVP</w:t>
      </w:r>
      <w:r>
        <w:rPr>
          <w:rFonts w:ascii="Times New Roman" w:hAnsi="Times New Roman"/>
          <w:sz w:val="24"/>
          <w:szCs w:val="24"/>
        </w:rPr>
        <w:t> </w:t>
      </w:r>
      <w:r w:rsidRPr="00223F90">
        <w:rPr>
          <w:rFonts w:ascii="Times New Roman" w:hAnsi="Times New Roman"/>
          <w:sz w:val="24"/>
          <w:szCs w:val="24"/>
        </w:rPr>
        <w:t>201</w:t>
      </w:r>
      <w:r w:rsidR="00071A38">
        <w:rPr>
          <w:rFonts w:ascii="Times New Roman" w:hAnsi="Times New Roman"/>
          <w:sz w:val="24"/>
          <w:szCs w:val="24"/>
        </w:rPr>
        <w:t>7/16</w:t>
      </w:r>
      <w:r w:rsidRPr="00223F90">
        <w:rPr>
          <w:rFonts w:ascii="Times New Roman" w:hAnsi="Times New Roman"/>
          <w:sz w:val="24"/>
          <w:szCs w:val="24"/>
        </w:rPr>
        <w:t>)</w:t>
      </w:r>
    </w:p>
    <w:p w:rsidR="00EF479B" w:rsidRPr="00223F90" w:rsidRDefault="00EF479B" w:rsidP="00EF479B">
      <w:pPr>
        <w:pStyle w:val="NoSpacing"/>
        <w:jc w:val="center"/>
        <w:rPr>
          <w:rFonts w:ascii="Times New Roman" w:hAnsi="Times New Roman"/>
          <w:sz w:val="24"/>
          <w:szCs w:val="24"/>
        </w:rPr>
      </w:pPr>
    </w:p>
    <w:p w:rsidR="00EF479B" w:rsidRPr="00223F90"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text" w:val="protokols"/>
          <w:attr w:name="baseform" w:val="protokols"/>
          <w:attr w:name="id" w:val="-1"/>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sidR="00071A38">
        <w:rPr>
          <w:rFonts w:ascii="Times New Roman" w:hAnsi="Times New Roman"/>
          <w:sz w:val="24"/>
          <w:szCs w:val="24"/>
        </w:rPr>
        <w:t>7/16</w:t>
      </w:r>
      <w:r w:rsidR="00E85BA4">
        <w:rPr>
          <w:rFonts w:ascii="Times New Roman" w:hAnsi="Times New Roman"/>
          <w:sz w:val="24"/>
          <w:szCs w:val="24"/>
        </w:rPr>
        <w:t>/</w:t>
      </w:r>
      <w:r w:rsidR="00352323">
        <w:rPr>
          <w:rFonts w:ascii="Times New Roman" w:hAnsi="Times New Roman"/>
          <w:sz w:val="24"/>
          <w:szCs w:val="24"/>
        </w:rPr>
        <w:t>3</w:t>
      </w: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sidR="00742F2D">
        <w:rPr>
          <w:rFonts w:ascii="Times New Roman" w:hAnsi="Times New Roman"/>
          <w:sz w:val="24"/>
          <w:szCs w:val="24"/>
        </w:rPr>
        <w:t>7</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1249EA">
        <w:rPr>
          <w:rFonts w:ascii="Times New Roman" w:hAnsi="Times New Roman"/>
          <w:sz w:val="24"/>
          <w:szCs w:val="24"/>
        </w:rPr>
        <w:t>2</w:t>
      </w:r>
      <w:r w:rsidR="00071A38">
        <w:rPr>
          <w:rFonts w:ascii="Times New Roman" w:hAnsi="Times New Roman"/>
          <w:sz w:val="24"/>
          <w:szCs w:val="24"/>
        </w:rPr>
        <w:t>. martā</w:t>
      </w:r>
    </w:p>
    <w:p w:rsidR="00EF479B" w:rsidRPr="00223F90" w:rsidRDefault="00EF479B" w:rsidP="00EF479B">
      <w:pPr>
        <w:pStyle w:val="NoSpacing"/>
        <w:jc w:val="both"/>
        <w:rPr>
          <w:rFonts w:ascii="Times New Roman" w:hAnsi="Times New Roman"/>
          <w:sz w:val="24"/>
          <w:szCs w:val="24"/>
        </w:rPr>
      </w:pPr>
    </w:p>
    <w:p w:rsidR="00742F2D" w:rsidRDefault="00EF479B" w:rsidP="00742F2D">
      <w:pPr>
        <w:spacing w:after="120" w:line="240" w:lineRule="auto"/>
        <w:ind w:firstLine="709"/>
        <w:jc w:val="both"/>
        <w:rPr>
          <w:rFonts w:ascii="Times New Roman" w:eastAsia="Times New Roman" w:hAnsi="Times New Roman"/>
          <w:noProof w:val="0"/>
          <w:sz w:val="24"/>
          <w:szCs w:val="24"/>
        </w:rPr>
      </w:pPr>
      <w:r w:rsidRPr="008031C2">
        <w:rPr>
          <w:rFonts w:ascii="Times New Roman" w:eastAsia="Times New Roman" w:hAnsi="Times New Roman"/>
          <w:noProof w:val="0"/>
          <w:sz w:val="24"/>
          <w:szCs w:val="24"/>
        </w:rPr>
        <w:t>Ar Ieslodzījuma viet</w:t>
      </w:r>
      <w:r>
        <w:rPr>
          <w:rFonts w:ascii="Times New Roman" w:eastAsia="Times New Roman" w:hAnsi="Times New Roman"/>
          <w:noProof w:val="0"/>
          <w:sz w:val="24"/>
          <w:szCs w:val="24"/>
        </w:rPr>
        <w:t>u pārvaldes (turpmāk – Pārvalde</w:t>
      </w:r>
      <w:r w:rsidRPr="008031C2">
        <w:rPr>
          <w:rFonts w:ascii="Times New Roman" w:eastAsia="Times New Roman" w:hAnsi="Times New Roman"/>
          <w:noProof w:val="0"/>
          <w:sz w:val="24"/>
          <w:szCs w:val="24"/>
        </w:rPr>
        <w:t xml:space="preserve">) priekšnieka </w:t>
      </w:r>
      <w:r w:rsidR="00742F2D" w:rsidRPr="002A4E08">
        <w:rPr>
          <w:rFonts w:ascii="Times New Roman" w:hAnsi="Times New Roman"/>
          <w:sz w:val="24"/>
          <w:szCs w:val="24"/>
        </w:rPr>
        <w:t>201</w:t>
      </w:r>
      <w:r w:rsidR="00742F2D">
        <w:rPr>
          <w:rFonts w:ascii="Times New Roman" w:hAnsi="Times New Roman"/>
          <w:sz w:val="24"/>
          <w:szCs w:val="24"/>
        </w:rPr>
        <w:t>7</w:t>
      </w:r>
      <w:r w:rsidR="00742F2D" w:rsidRPr="002A4E08">
        <w:rPr>
          <w:rFonts w:ascii="Times New Roman" w:hAnsi="Times New Roman"/>
          <w:sz w:val="24"/>
          <w:szCs w:val="24"/>
        </w:rPr>
        <w:t>.</w:t>
      </w:r>
      <w:r w:rsidR="00742F2D">
        <w:rPr>
          <w:rFonts w:ascii="Times New Roman" w:hAnsi="Times New Roman"/>
          <w:sz w:val="24"/>
          <w:szCs w:val="24"/>
        </w:rPr>
        <w:t> gada 2. janvār</w:t>
      </w:r>
      <w:r w:rsidR="00742F2D" w:rsidRPr="002A4E08">
        <w:rPr>
          <w:rFonts w:ascii="Times New Roman" w:hAnsi="Times New Roman"/>
          <w:sz w:val="24"/>
          <w:szCs w:val="24"/>
        </w:rPr>
        <w:t>a rīkojumu Nr.</w:t>
      </w:r>
      <w:r w:rsidR="00742F2D">
        <w:rPr>
          <w:rFonts w:ascii="Times New Roman" w:hAnsi="Times New Roman"/>
          <w:sz w:val="24"/>
          <w:szCs w:val="24"/>
        </w:rPr>
        <w:t xml:space="preserve">2 „Par </w:t>
      </w:r>
      <w:r w:rsidR="00742F2D" w:rsidRPr="002A4E08">
        <w:rPr>
          <w:rFonts w:ascii="Times New Roman" w:hAnsi="Times New Roman"/>
          <w:sz w:val="24"/>
          <w:szCs w:val="24"/>
        </w:rPr>
        <w:t>iepirkumu komisijas izveidošanu”</w:t>
      </w:r>
      <w:r w:rsidR="00742F2D" w:rsidRPr="009E6065">
        <w:rPr>
          <w:rFonts w:ascii="Times New Roman" w:eastAsia="Times New Roman" w:hAnsi="Times New Roman"/>
          <w:noProof w:val="0"/>
          <w:sz w:val="24"/>
          <w:szCs w:val="24"/>
        </w:rPr>
        <w:t xml:space="preserve"> izveidotās iepirkum</w:t>
      </w:r>
      <w:r w:rsidR="00742F2D">
        <w:rPr>
          <w:rFonts w:ascii="Times New Roman" w:eastAsia="Times New Roman" w:hAnsi="Times New Roman"/>
          <w:noProof w:val="0"/>
          <w:sz w:val="24"/>
          <w:szCs w:val="24"/>
        </w:rPr>
        <w:t>u</w:t>
      </w:r>
      <w:r w:rsidR="00742F2D" w:rsidRPr="009E6065">
        <w:rPr>
          <w:rFonts w:ascii="Times New Roman" w:eastAsia="Times New Roman" w:hAnsi="Times New Roman"/>
          <w:noProof w:val="0"/>
          <w:sz w:val="24"/>
          <w:szCs w:val="24"/>
        </w:rPr>
        <w:t xml:space="preserve"> komisijas </w:t>
      </w:r>
      <w:r w:rsidR="00742F2D">
        <w:rPr>
          <w:rFonts w:ascii="Times New Roman" w:eastAsia="Times New Roman" w:hAnsi="Times New Roman"/>
          <w:noProof w:val="0"/>
          <w:sz w:val="24"/>
          <w:szCs w:val="24"/>
        </w:rPr>
        <w:t xml:space="preserve">(turpmāk – Iepirkumu komisija) iepirkuma </w:t>
      </w:r>
      <w:r w:rsidR="00742F2D" w:rsidRPr="00645316">
        <w:rPr>
          <w:rFonts w:ascii="Times New Roman" w:hAnsi="Times New Roman"/>
          <w:sz w:val="24"/>
          <w:szCs w:val="24"/>
        </w:rPr>
        <w:t>„</w:t>
      </w:r>
      <w:r w:rsidR="00071A38" w:rsidRPr="00071A38">
        <w:rPr>
          <w:rFonts w:ascii="Times New Roman" w:hAnsi="Times New Roman"/>
          <w:sz w:val="24"/>
          <w:szCs w:val="24"/>
        </w:rPr>
        <w:t>Olaines  cietuma (Latvijas Cietumu slimnīca) un Cēsu Audzināšanas iestādes nepilngadīgajiem ēku tehniskā apsekošana</w:t>
      </w:r>
      <w:r w:rsidR="00742F2D" w:rsidRPr="00865F99">
        <w:rPr>
          <w:rFonts w:ascii="Times New Roman" w:hAnsi="Times New Roman"/>
          <w:sz w:val="24"/>
        </w:rPr>
        <w:t>”</w:t>
      </w:r>
      <w:r w:rsidR="00742F2D">
        <w:rPr>
          <w:rFonts w:ascii="Times New Roman" w:hAnsi="Times New Roman"/>
          <w:sz w:val="24"/>
        </w:rPr>
        <w:t xml:space="preserve"> (i</w:t>
      </w:r>
      <w:r w:rsidR="00895D5E">
        <w:rPr>
          <w:rFonts w:ascii="Times New Roman" w:hAnsi="Times New Roman"/>
          <w:sz w:val="24"/>
        </w:rPr>
        <w:t>dentifikācijas Nr. IeVP 201</w:t>
      </w:r>
      <w:r w:rsidR="00071A38">
        <w:rPr>
          <w:rFonts w:ascii="Times New Roman" w:hAnsi="Times New Roman"/>
          <w:sz w:val="24"/>
        </w:rPr>
        <w:t>7/16</w:t>
      </w:r>
      <w:r w:rsidR="00742F2D">
        <w:rPr>
          <w:rFonts w:ascii="Times New Roman" w:hAnsi="Times New Roman"/>
          <w:sz w:val="24"/>
        </w:rPr>
        <w:t xml:space="preserve">) (turpmāk – Iepirkums) </w:t>
      </w:r>
      <w:r w:rsidR="00742F2D" w:rsidRPr="009E6065">
        <w:rPr>
          <w:rFonts w:ascii="Times New Roman" w:eastAsia="Times New Roman" w:hAnsi="Times New Roman"/>
          <w:noProof w:val="0"/>
          <w:sz w:val="24"/>
          <w:szCs w:val="24"/>
        </w:rPr>
        <w:t>sēdē plkst.</w:t>
      </w:r>
      <w:r w:rsidR="001249EA">
        <w:rPr>
          <w:rFonts w:ascii="Times New Roman" w:eastAsia="Times New Roman" w:hAnsi="Times New Roman"/>
          <w:noProof w:val="0"/>
          <w:sz w:val="24"/>
          <w:szCs w:val="24"/>
        </w:rPr>
        <w:t>9.25</w:t>
      </w:r>
      <w:r w:rsidR="00742F2D" w:rsidRPr="009E6065">
        <w:rPr>
          <w:rFonts w:ascii="Times New Roman" w:eastAsia="Times New Roman" w:hAnsi="Times New Roman"/>
          <w:noProof w:val="0"/>
          <w:sz w:val="24"/>
          <w:szCs w:val="24"/>
        </w:rPr>
        <w:t>, Stabu ielā</w:t>
      </w:r>
      <w:r w:rsidR="00742F2D">
        <w:rPr>
          <w:rFonts w:ascii="Times New Roman" w:eastAsia="Times New Roman" w:hAnsi="Times New Roman"/>
          <w:noProof w:val="0"/>
          <w:sz w:val="24"/>
          <w:szCs w:val="24"/>
        </w:rPr>
        <w:t> 89, Rīgā, 314</w:t>
      </w:r>
      <w:r w:rsidR="00742F2D" w:rsidRPr="009E6065">
        <w:rPr>
          <w:rFonts w:ascii="Times New Roman" w:eastAsia="Times New Roman" w:hAnsi="Times New Roman"/>
          <w:noProof w:val="0"/>
          <w:sz w:val="24"/>
          <w:szCs w:val="24"/>
        </w:rPr>
        <w:t>.</w:t>
      </w:r>
      <w:r w:rsidR="00742F2D">
        <w:rPr>
          <w:rFonts w:ascii="Times New Roman" w:eastAsia="Times New Roman" w:hAnsi="Times New Roman"/>
          <w:noProof w:val="0"/>
          <w:sz w:val="24"/>
          <w:szCs w:val="24"/>
        </w:rPr>
        <w:t> </w:t>
      </w:r>
      <w:r w:rsidR="00742F2D" w:rsidRPr="009E6065">
        <w:rPr>
          <w:rFonts w:ascii="Times New Roman" w:eastAsia="Times New Roman" w:hAnsi="Times New Roman"/>
          <w:noProof w:val="0"/>
          <w:sz w:val="24"/>
          <w:szCs w:val="24"/>
        </w:rPr>
        <w:t>kab</w:t>
      </w:r>
      <w:r w:rsidR="00742F2D">
        <w:rPr>
          <w:rFonts w:ascii="Times New Roman" w:eastAsia="Times New Roman" w:hAnsi="Times New Roman"/>
          <w:noProof w:val="0"/>
          <w:sz w:val="24"/>
          <w:szCs w:val="24"/>
        </w:rPr>
        <w:t>inetā</w:t>
      </w:r>
      <w:r w:rsidR="00742F2D" w:rsidRPr="009E6065">
        <w:rPr>
          <w:rFonts w:ascii="Times New Roman" w:eastAsia="Times New Roman" w:hAnsi="Times New Roman"/>
          <w:noProof w:val="0"/>
          <w:sz w:val="24"/>
          <w:szCs w:val="24"/>
        </w:rPr>
        <w:t>, piedalās:</w:t>
      </w:r>
    </w:p>
    <w:p w:rsidR="00742F2D" w:rsidRPr="002A4E08" w:rsidRDefault="00742F2D" w:rsidP="00742F2D">
      <w:pPr>
        <w:pStyle w:val="NoSpacing"/>
        <w:jc w:val="both"/>
        <w:rPr>
          <w:rFonts w:ascii="Times New Roman" w:hAnsi="Times New Roman"/>
          <w:sz w:val="24"/>
          <w:szCs w:val="24"/>
          <w:lang w:val="de-DE"/>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 xml:space="preserve">Pārvaldes priekšnieka vietniece majore Tatjana Trocka </w:t>
      </w:r>
      <w:r>
        <w:rPr>
          <w:rFonts w:ascii="Times New Roman" w:hAnsi="Times New Roman"/>
          <w:b/>
          <w:sz w:val="24"/>
          <w:szCs w:val="24"/>
        </w:rPr>
        <w:t xml:space="preserve">Iepirkumu </w:t>
      </w:r>
      <w:r w:rsidRPr="002A4E08">
        <w:rPr>
          <w:rFonts w:ascii="Times New Roman" w:hAnsi="Times New Roman"/>
          <w:b/>
          <w:sz w:val="24"/>
          <w:szCs w:val="24"/>
        </w:rPr>
        <w:t>komisijas priekšsēdētāja vietniece:</w:t>
      </w:r>
      <w:r w:rsidRPr="002A4E08">
        <w:rPr>
          <w:rFonts w:ascii="Times New Roman" w:hAnsi="Times New Roman"/>
          <w:sz w:val="24"/>
          <w:szCs w:val="24"/>
        </w:rPr>
        <w:t xml:space="preserve"> </w:t>
      </w:r>
      <w:r w:rsidRPr="0018770B">
        <w:rPr>
          <w:rFonts w:ascii="Times New Roman" w:hAnsi="Times New Roman"/>
          <w:sz w:val="24"/>
          <w:szCs w:val="24"/>
          <w:lang w:val="de-DE"/>
        </w:rPr>
        <w:t>Pārvaldes centrālā aparāta Tiesiskā regulējuma daļas galvenā juriste majore Nataļja Gruzdova</w:t>
      </w:r>
    </w:p>
    <w:p w:rsidR="00742F2D" w:rsidRDefault="00742F2D" w:rsidP="00742F2D">
      <w:pPr>
        <w:pStyle w:val="NoSpacing"/>
        <w:jc w:val="both"/>
        <w:rPr>
          <w:rFonts w:ascii="Times New Roman" w:hAnsi="Times New Roman"/>
          <w:b/>
          <w:sz w:val="24"/>
          <w:szCs w:val="24"/>
        </w:rPr>
      </w:pPr>
      <w:r>
        <w:rPr>
          <w:rFonts w:ascii="Times New Roman" w:hAnsi="Times New Roman"/>
          <w:b/>
          <w:sz w:val="24"/>
          <w:szCs w:val="24"/>
        </w:rPr>
        <w:t xml:space="preserve">Iepirkumu </w:t>
      </w:r>
      <w:r w:rsidRPr="002A4E08">
        <w:rPr>
          <w:rFonts w:ascii="Times New Roman" w:hAnsi="Times New Roman"/>
          <w:b/>
          <w:sz w:val="24"/>
          <w:szCs w:val="24"/>
        </w:rPr>
        <w:t>komisijas locekļi:</w:t>
      </w:r>
    </w:p>
    <w:p w:rsidR="00895D5E" w:rsidRDefault="00895D5E" w:rsidP="00895D5E">
      <w:pPr>
        <w:pStyle w:val="NoSpacing"/>
        <w:jc w:val="both"/>
        <w:rPr>
          <w:rFonts w:ascii="Times New Roman" w:hAnsi="Times New Roman"/>
          <w:sz w:val="24"/>
          <w:szCs w:val="24"/>
        </w:rPr>
      </w:pPr>
      <w:r w:rsidRPr="00DB4B91">
        <w:rPr>
          <w:rFonts w:ascii="Times New Roman" w:hAnsi="Times New Roman"/>
          <w:sz w:val="24"/>
          <w:szCs w:val="24"/>
        </w:rPr>
        <w:t>Pārvaldes centrālā aparāta Finanšu vadības un kontroles daļas vadītāja kapteine Inesa Mališeva</w:t>
      </w:r>
    </w:p>
    <w:p w:rsidR="00DD0C89" w:rsidRDefault="00DD0C89" w:rsidP="00DD0C89">
      <w:pPr>
        <w:pStyle w:val="NoSpacing"/>
        <w:ind w:right="-766"/>
        <w:jc w:val="both"/>
        <w:rPr>
          <w:rFonts w:ascii="Times New Roman" w:hAnsi="Times New Roman"/>
          <w:sz w:val="24"/>
          <w:szCs w:val="24"/>
        </w:rPr>
      </w:pPr>
      <w:r w:rsidRPr="0018770B">
        <w:rPr>
          <w:rFonts w:ascii="Times New Roman" w:hAnsi="Times New Roman"/>
          <w:sz w:val="24"/>
          <w:szCs w:val="24"/>
        </w:rPr>
        <w:t>Pārvaldes centrālā aparāta Uzraudzības daļas galvenais inspektors majors Madars Vekmanis</w:t>
      </w:r>
    </w:p>
    <w:p w:rsidR="00DD0C89" w:rsidRDefault="00DD0C89" w:rsidP="00DD0C89">
      <w:pPr>
        <w:pStyle w:val="NoSpacing"/>
        <w:ind w:right="-766"/>
        <w:jc w:val="both"/>
        <w:rPr>
          <w:rFonts w:ascii="Times New Roman" w:hAnsi="Times New Roman"/>
          <w:sz w:val="24"/>
          <w:szCs w:val="24"/>
        </w:rPr>
      </w:pPr>
      <w:r w:rsidRPr="0018770B">
        <w:rPr>
          <w:rFonts w:ascii="Times New Roman" w:hAnsi="Times New Roman"/>
          <w:sz w:val="24"/>
          <w:szCs w:val="24"/>
          <w:lang w:val="de-DE"/>
        </w:rPr>
        <w:t>Pārvaldes centrālā aparāta Apsardzes daļas galvenais ins</w:t>
      </w:r>
      <w:r>
        <w:rPr>
          <w:rFonts w:ascii="Times New Roman" w:hAnsi="Times New Roman"/>
          <w:sz w:val="24"/>
          <w:szCs w:val="24"/>
          <w:lang w:val="de-DE"/>
        </w:rPr>
        <w:t>pektors majors Vadims Petruhins</w:t>
      </w:r>
      <w:r w:rsidRPr="0018770B">
        <w:rPr>
          <w:rFonts w:ascii="Times New Roman" w:hAnsi="Times New Roman"/>
          <w:sz w:val="24"/>
          <w:szCs w:val="24"/>
        </w:rPr>
        <w:t xml:space="preserve"> </w:t>
      </w:r>
    </w:p>
    <w:p w:rsidR="00E722F8" w:rsidRDefault="00742F2D" w:rsidP="00742F2D">
      <w:pPr>
        <w:pStyle w:val="NoSpacing"/>
        <w:jc w:val="both"/>
        <w:rPr>
          <w:rFonts w:ascii="Times New Roman" w:hAnsi="Times New Roman"/>
          <w:sz w:val="24"/>
          <w:szCs w:val="24"/>
          <w:lang w:val="de-DE"/>
        </w:rPr>
      </w:pPr>
      <w:r w:rsidRPr="0018770B">
        <w:rPr>
          <w:rFonts w:ascii="Times New Roman" w:hAnsi="Times New Roman"/>
          <w:sz w:val="24"/>
          <w:szCs w:val="24"/>
          <w:lang w:val="de-DE"/>
        </w:rPr>
        <w:t>Pārvaldes centrālā aparāta Nodrošinājuma daļas ugunsdrošības un civilās aizsardzības tehniķis Gints Bogdanovs</w:t>
      </w:r>
    </w:p>
    <w:p w:rsidR="00EF479B" w:rsidRDefault="00EF479B" w:rsidP="00EF479B">
      <w:pPr>
        <w:pStyle w:val="NoSpacing"/>
        <w:spacing w:before="120"/>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EF479B" w:rsidRPr="000F5F5C" w:rsidRDefault="00EF479B" w:rsidP="00352323">
      <w:pPr>
        <w:pStyle w:val="NoSpacing"/>
        <w:jc w:val="both"/>
      </w:pPr>
      <w:r w:rsidRPr="0001076B">
        <w:rPr>
          <w:rFonts w:ascii="Times New Roman" w:hAnsi="Times New Roman"/>
          <w:sz w:val="24"/>
          <w:szCs w:val="24"/>
        </w:rPr>
        <w:t>„</w:t>
      </w:r>
      <w:r w:rsidR="00071A38" w:rsidRPr="00071A38">
        <w:rPr>
          <w:rFonts w:ascii="Times New Roman" w:hAnsi="Times New Roman"/>
          <w:sz w:val="24"/>
          <w:szCs w:val="24"/>
        </w:rPr>
        <w:t>Olaines  cietuma (Latvijas Cietumu slimnīca) un Cēsu Audzināšanas iestādes nepilngadīgajiem ēku tehniskā apsekošana</w:t>
      </w:r>
      <w:r w:rsidR="00171A05" w:rsidRPr="00171A05">
        <w:rPr>
          <w:rFonts w:ascii="Times New Roman" w:hAnsi="Times New Roman"/>
          <w:sz w:val="24"/>
          <w:szCs w:val="24"/>
        </w:rPr>
        <w:t>.</w:t>
      </w:r>
      <w:r w:rsidRPr="0001076B">
        <w:rPr>
          <w:rFonts w:ascii="Times New Roman" w:hAnsi="Times New Roman"/>
          <w:sz w:val="24"/>
          <w:szCs w:val="24"/>
        </w:rPr>
        <w:t>”</w:t>
      </w:r>
    </w:p>
    <w:p w:rsidR="00EF479B" w:rsidRDefault="00EF479B" w:rsidP="00EF479B">
      <w:pPr>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EF479B" w:rsidRPr="00E85BA4" w:rsidRDefault="00EF479B" w:rsidP="0071608A">
      <w:pPr>
        <w:pStyle w:val="NoSpacing"/>
        <w:jc w:val="both"/>
        <w:rPr>
          <w:rFonts w:ascii="Times New Roman" w:eastAsia="Times New Roman" w:hAnsi="Times New Roman"/>
          <w:noProof w:val="0"/>
          <w:sz w:val="24"/>
          <w:szCs w:val="24"/>
          <w:lang w:eastAsia="lv-LV"/>
        </w:rPr>
      </w:pPr>
      <w:r w:rsidRPr="0001076B">
        <w:rPr>
          <w:rFonts w:ascii="Times New Roman" w:hAnsi="Times New Roman"/>
          <w:sz w:val="24"/>
          <w:szCs w:val="24"/>
        </w:rPr>
        <w:t>„</w:t>
      </w:r>
      <w:r w:rsidR="00071A38" w:rsidRPr="00071A38">
        <w:rPr>
          <w:rFonts w:ascii="Times New Roman" w:hAnsi="Times New Roman"/>
          <w:sz w:val="24"/>
          <w:szCs w:val="24"/>
        </w:rPr>
        <w:t xml:space="preserve">Par Pretendenta piedāvājuma izvēles kritēriju tiek noteikts piedāvājums ar viszemāko līgumcenu par </w:t>
      </w:r>
      <w:r w:rsidR="00071A38" w:rsidRPr="00071A38">
        <w:rPr>
          <w:rFonts w:ascii="Times New Roman" w:hAnsi="Times New Roman"/>
          <w:color w:val="000000"/>
          <w:sz w:val="24"/>
          <w:szCs w:val="24"/>
        </w:rPr>
        <w:t>katru daļu atsevišķi</w:t>
      </w:r>
      <w:r w:rsidR="00071A38" w:rsidRPr="00071A38">
        <w:rPr>
          <w:rFonts w:ascii="Times New Roman" w:hAnsi="Times New Roman"/>
          <w:sz w:val="24"/>
          <w:szCs w:val="24"/>
        </w:rPr>
        <w:t>, kas atbilst Nolikumā minētajām prasībām un tehniskajai specifikācijai, iekļaujot visus nodokļus (izņemot PVN) un izdevumus (t.sk. transporta pakalpojumi, piegādes u.c. izmaksas, t.sk. saistītas ar tehniskajā specifikācijā nenorādītu un neparedzētu darbu izpildi, kas tehnoloģiski saistīti ar iepirkuma priekšmeta īstenošanu noteiktajā termiņā un vietā)</w:t>
      </w:r>
      <w:r w:rsidRPr="00DE07D3">
        <w:rPr>
          <w:rFonts w:ascii="Times New Roman" w:eastAsia="Times New Roman" w:hAnsi="Times New Roman"/>
          <w:noProof w:val="0"/>
          <w:sz w:val="24"/>
          <w:szCs w:val="24"/>
          <w:lang w:eastAsia="lv-LV"/>
        </w:rPr>
        <w:t>.</w:t>
      </w:r>
      <w:r w:rsidRPr="0001076B">
        <w:rPr>
          <w:rFonts w:ascii="Times New Roman" w:hAnsi="Times New Roman"/>
          <w:sz w:val="24"/>
          <w:szCs w:val="24"/>
        </w:rPr>
        <w:t>”</w:t>
      </w:r>
    </w:p>
    <w:p w:rsidR="00EF479B" w:rsidRPr="005F1A6A"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742F2D" w:rsidRPr="0018770B">
        <w:rPr>
          <w:rFonts w:ascii="Times New Roman" w:hAnsi="Times New Roman"/>
          <w:sz w:val="24"/>
          <w:szCs w:val="24"/>
        </w:rPr>
        <w:t>Pārvaldes priekšnieka vietniece majore Tatjana Trocka</w:t>
      </w:r>
      <w:r>
        <w:rPr>
          <w:rFonts w:ascii="Times New Roman" w:hAnsi="Times New Roman"/>
          <w:sz w:val="24"/>
          <w:szCs w:val="24"/>
        </w:rPr>
        <w:t>.</w:t>
      </w:r>
    </w:p>
    <w:p w:rsidR="00BE4F2B" w:rsidRDefault="00BE4F2B" w:rsidP="00E85BA4">
      <w:pPr>
        <w:spacing w:after="0" w:line="240" w:lineRule="auto"/>
        <w:ind w:right="42"/>
        <w:jc w:val="both"/>
        <w:rPr>
          <w:rFonts w:ascii="Times New Roman" w:hAnsi="Times New Roman"/>
          <w:b/>
          <w:noProof w:val="0"/>
          <w:sz w:val="24"/>
          <w:szCs w:val="24"/>
          <w:u w:val="single"/>
        </w:rPr>
      </w:pP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EF479B" w:rsidRDefault="00742F2D" w:rsidP="00065320">
      <w:pPr>
        <w:spacing w:after="0" w:line="240" w:lineRule="auto"/>
        <w:ind w:right="42"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T. Trock</w:t>
      </w:r>
      <w:r w:rsidR="00583079">
        <w:rPr>
          <w:rFonts w:ascii="Times New Roman" w:eastAsia="Times New Roman" w:hAnsi="Times New Roman"/>
          <w:noProof w:val="0"/>
          <w:sz w:val="24"/>
          <w:szCs w:val="24"/>
        </w:rPr>
        <w:t>a</w:t>
      </w:r>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 iesniegušo</w:t>
      </w:r>
      <w:r w:rsidR="00071A38">
        <w:rPr>
          <w:rFonts w:ascii="Times New Roman" w:eastAsia="Times New Roman" w:hAnsi="Times New Roman"/>
          <w:noProof w:val="0"/>
          <w:sz w:val="24"/>
          <w:szCs w:val="24"/>
        </w:rPr>
        <w:t>s</w:t>
      </w:r>
      <w:r w:rsidR="00E85BA4">
        <w:rPr>
          <w:rFonts w:ascii="Times New Roman" w:eastAsia="Times New Roman" w:hAnsi="Times New Roman"/>
          <w:noProof w:val="0"/>
          <w:sz w:val="24"/>
          <w:szCs w:val="24"/>
        </w:rPr>
        <w:t xml:space="preserve"> pretendentu</w:t>
      </w:r>
      <w:r w:rsidR="00071A38">
        <w:rPr>
          <w:rFonts w:ascii="Times New Roman" w:eastAsia="Times New Roman" w:hAnsi="Times New Roman"/>
          <w:noProof w:val="0"/>
          <w:sz w:val="24"/>
          <w:szCs w:val="24"/>
        </w:rPr>
        <w:t>s</w:t>
      </w:r>
      <w:r w:rsidR="00EF479B" w:rsidRPr="00132481">
        <w:rPr>
          <w:rFonts w:ascii="Times New Roman" w:eastAsia="Times New Roman" w:hAnsi="Times New Roman"/>
          <w:noProof w:val="0"/>
          <w:sz w:val="24"/>
          <w:szCs w:val="24"/>
        </w:rPr>
        <w:t>:</w:t>
      </w:r>
    </w:p>
    <w:p w:rsidR="00171A05" w:rsidRDefault="00171A05" w:rsidP="00EF479B">
      <w:pPr>
        <w:spacing w:after="0" w:line="240" w:lineRule="auto"/>
        <w:ind w:right="42" w:firstLine="709"/>
        <w:jc w:val="both"/>
        <w:rPr>
          <w:rFonts w:ascii="Times New Roman" w:eastAsia="Times New Roman" w:hAnsi="Times New Roman"/>
          <w:noProof w:val="0"/>
          <w:sz w:val="24"/>
          <w:szCs w:val="24"/>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5"/>
        <w:gridCol w:w="2664"/>
        <w:gridCol w:w="2551"/>
        <w:gridCol w:w="1589"/>
      </w:tblGrid>
      <w:tr w:rsidR="00352323" w:rsidRPr="00791EC2" w:rsidTr="00345924">
        <w:trPr>
          <w:trHeight w:val="716"/>
        </w:trPr>
        <w:tc>
          <w:tcPr>
            <w:tcW w:w="2865" w:type="dxa"/>
            <w:vAlign w:val="center"/>
          </w:tcPr>
          <w:p w:rsidR="00352323" w:rsidRPr="00791EC2" w:rsidRDefault="00065320" w:rsidP="00352323">
            <w:pPr>
              <w:pStyle w:val="NoSpacing"/>
              <w:jc w:val="center"/>
              <w:rPr>
                <w:rFonts w:ascii="Times New Roman" w:hAnsi="Times New Roman"/>
              </w:rPr>
            </w:pPr>
            <w:r w:rsidRPr="00791EC2">
              <w:t xml:space="preserve"> </w:t>
            </w:r>
            <w:r w:rsidR="00352323" w:rsidRPr="00791EC2">
              <w:rPr>
                <w:rFonts w:ascii="Times New Roman" w:hAnsi="Times New Roman"/>
              </w:rPr>
              <w:t>Pretendenta</w:t>
            </w:r>
          </w:p>
          <w:p w:rsidR="00352323" w:rsidRPr="00791EC2" w:rsidRDefault="00352323" w:rsidP="00352323">
            <w:pPr>
              <w:pStyle w:val="NoSpacing"/>
              <w:jc w:val="center"/>
              <w:rPr>
                <w:rFonts w:ascii="Times New Roman" w:hAnsi="Times New Roman"/>
              </w:rPr>
            </w:pPr>
            <w:r w:rsidRPr="00791EC2">
              <w:rPr>
                <w:rFonts w:ascii="Times New Roman" w:hAnsi="Times New Roman"/>
              </w:rPr>
              <w:t>nosaukums un reģistrācijas Nr.</w:t>
            </w:r>
          </w:p>
        </w:tc>
        <w:tc>
          <w:tcPr>
            <w:tcW w:w="2664"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Pretendenta juridiskā</w:t>
            </w:r>
          </w:p>
          <w:p w:rsidR="00352323" w:rsidRPr="00791EC2" w:rsidRDefault="00352323" w:rsidP="00352323">
            <w:pPr>
              <w:pStyle w:val="NoSpacing"/>
              <w:jc w:val="center"/>
              <w:rPr>
                <w:rFonts w:ascii="Times New Roman" w:hAnsi="Times New Roman"/>
              </w:rPr>
            </w:pPr>
            <w:r w:rsidRPr="00791EC2">
              <w:rPr>
                <w:rFonts w:ascii="Times New Roman" w:hAnsi="Times New Roman"/>
              </w:rPr>
              <w:t>adrese</w:t>
            </w:r>
          </w:p>
        </w:tc>
        <w:tc>
          <w:tcPr>
            <w:tcW w:w="2551"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Pretendenta piedāvājuma saņemšanas datums un laiks</w:t>
            </w:r>
          </w:p>
        </w:tc>
        <w:tc>
          <w:tcPr>
            <w:tcW w:w="1589"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Piedāvājuma reģistrācijas Nr.</w:t>
            </w:r>
          </w:p>
        </w:tc>
      </w:tr>
      <w:tr w:rsidR="00071A38" w:rsidRPr="00791EC2" w:rsidTr="00345924">
        <w:trPr>
          <w:trHeight w:val="723"/>
        </w:trPr>
        <w:tc>
          <w:tcPr>
            <w:tcW w:w="2865" w:type="dxa"/>
            <w:vAlign w:val="center"/>
          </w:tcPr>
          <w:p w:rsidR="00071A38" w:rsidRPr="00071A38" w:rsidRDefault="00071A38" w:rsidP="00071A38">
            <w:pPr>
              <w:pStyle w:val="NoSpacing"/>
              <w:jc w:val="center"/>
              <w:rPr>
                <w:rFonts w:ascii="Times New Roman" w:hAnsi="Times New Roman"/>
                <w:bCs/>
                <w:lang w:eastAsia="lv-LV"/>
              </w:rPr>
            </w:pPr>
            <w:r w:rsidRPr="00071A38">
              <w:rPr>
                <w:rFonts w:ascii="Times New Roman" w:hAnsi="Times New Roman"/>
              </w:rPr>
              <w:t>SIA „BALTS UN MELNS”, reģistrācijas Nr.40003659614</w:t>
            </w:r>
          </w:p>
        </w:tc>
        <w:tc>
          <w:tcPr>
            <w:tcW w:w="2664" w:type="dxa"/>
            <w:vAlign w:val="center"/>
          </w:tcPr>
          <w:p w:rsidR="00071A38" w:rsidRPr="00071A38" w:rsidRDefault="00071A38" w:rsidP="00071A38">
            <w:pPr>
              <w:pStyle w:val="NoSpacing"/>
              <w:jc w:val="center"/>
              <w:rPr>
                <w:rFonts w:ascii="Times New Roman" w:hAnsi="Times New Roman"/>
                <w:bCs/>
              </w:rPr>
            </w:pPr>
            <w:r w:rsidRPr="00071A38">
              <w:rPr>
                <w:rFonts w:ascii="Times New Roman" w:hAnsi="Times New Roman"/>
              </w:rPr>
              <w:t>Gaujas iela 11, Rīga, LV-1026</w:t>
            </w:r>
          </w:p>
        </w:tc>
        <w:tc>
          <w:tcPr>
            <w:tcW w:w="2551" w:type="dxa"/>
            <w:vAlign w:val="center"/>
          </w:tcPr>
          <w:p w:rsidR="00071A38" w:rsidRPr="00071A38" w:rsidRDefault="00071A38" w:rsidP="00071A38">
            <w:pPr>
              <w:pStyle w:val="NoSpacing"/>
              <w:jc w:val="center"/>
              <w:rPr>
                <w:rFonts w:ascii="Times New Roman" w:hAnsi="Times New Roman"/>
              </w:rPr>
            </w:pPr>
            <w:r w:rsidRPr="00071A38">
              <w:rPr>
                <w:rFonts w:ascii="Times New Roman" w:hAnsi="Times New Roman"/>
              </w:rPr>
              <w:t>2017. gada 23. februāris, plkst.11.20</w:t>
            </w:r>
          </w:p>
        </w:tc>
        <w:tc>
          <w:tcPr>
            <w:tcW w:w="1589" w:type="dxa"/>
            <w:vAlign w:val="center"/>
          </w:tcPr>
          <w:p w:rsidR="00071A38" w:rsidRPr="00071A38" w:rsidRDefault="00071A38" w:rsidP="00071A38">
            <w:pPr>
              <w:pStyle w:val="NoSpacing"/>
              <w:jc w:val="center"/>
              <w:rPr>
                <w:rFonts w:ascii="Times New Roman" w:hAnsi="Times New Roman"/>
              </w:rPr>
            </w:pPr>
            <w:r w:rsidRPr="00071A38">
              <w:rPr>
                <w:rFonts w:ascii="Times New Roman" w:hAnsi="Times New Roman"/>
              </w:rPr>
              <w:t>2983</w:t>
            </w:r>
          </w:p>
        </w:tc>
      </w:tr>
      <w:tr w:rsidR="00071A38" w:rsidRPr="00791EC2" w:rsidTr="00345924">
        <w:trPr>
          <w:trHeight w:val="723"/>
        </w:trPr>
        <w:tc>
          <w:tcPr>
            <w:tcW w:w="2865" w:type="dxa"/>
            <w:vAlign w:val="center"/>
          </w:tcPr>
          <w:p w:rsidR="00071A38" w:rsidRPr="00071A38" w:rsidRDefault="00071A38" w:rsidP="00071A38">
            <w:pPr>
              <w:pStyle w:val="NoSpacing"/>
              <w:jc w:val="center"/>
              <w:rPr>
                <w:rFonts w:ascii="Times New Roman" w:hAnsi="Times New Roman"/>
              </w:rPr>
            </w:pPr>
            <w:r w:rsidRPr="00071A38">
              <w:rPr>
                <w:rFonts w:ascii="Times New Roman" w:hAnsi="Times New Roman"/>
              </w:rPr>
              <w:t>SIA „Forma 2”, reģistrācijas Nr.50003883681</w:t>
            </w:r>
          </w:p>
        </w:tc>
        <w:tc>
          <w:tcPr>
            <w:tcW w:w="2664" w:type="dxa"/>
            <w:vAlign w:val="center"/>
          </w:tcPr>
          <w:p w:rsidR="00071A38" w:rsidRPr="00071A38" w:rsidRDefault="00071A38" w:rsidP="00071A38">
            <w:pPr>
              <w:pStyle w:val="NoSpacing"/>
              <w:jc w:val="center"/>
              <w:rPr>
                <w:rFonts w:ascii="Times New Roman" w:hAnsi="Times New Roman"/>
              </w:rPr>
            </w:pPr>
            <w:r w:rsidRPr="00071A38">
              <w:rPr>
                <w:rFonts w:ascii="Times New Roman" w:hAnsi="Times New Roman"/>
              </w:rPr>
              <w:t>Graudu iela 61B, Rīga, LV-1058</w:t>
            </w:r>
          </w:p>
        </w:tc>
        <w:tc>
          <w:tcPr>
            <w:tcW w:w="2551" w:type="dxa"/>
            <w:vAlign w:val="center"/>
          </w:tcPr>
          <w:p w:rsidR="00071A38" w:rsidRPr="00071A38" w:rsidRDefault="00071A38" w:rsidP="00071A38">
            <w:pPr>
              <w:pStyle w:val="NoSpacing"/>
              <w:jc w:val="center"/>
              <w:rPr>
                <w:rFonts w:ascii="Times New Roman" w:hAnsi="Times New Roman"/>
              </w:rPr>
            </w:pPr>
            <w:r w:rsidRPr="00071A38">
              <w:rPr>
                <w:rFonts w:ascii="Times New Roman" w:hAnsi="Times New Roman"/>
              </w:rPr>
              <w:t>2017. gada 24. februāris, plkst.9.11</w:t>
            </w:r>
          </w:p>
        </w:tc>
        <w:tc>
          <w:tcPr>
            <w:tcW w:w="1589" w:type="dxa"/>
            <w:vAlign w:val="center"/>
          </w:tcPr>
          <w:p w:rsidR="00071A38" w:rsidRPr="00071A38" w:rsidRDefault="00071A38" w:rsidP="00071A38">
            <w:pPr>
              <w:pStyle w:val="NoSpacing"/>
              <w:jc w:val="center"/>
              <w:rPr>
                <w:rFonts w:ascii="Times New Roman" w:hAnsi="Times New Roman"/>
              </w:rPr>
            </w:pPr>
            <w:r w:rsidRPr="00071A38">
              <w:rPr>
                <w:rFonts w:ascii="Times New Roman" w:hAnsi="Times New Roman"/>
              </w:rPr>
              <w:t>3045</w:t>
            </w:r>
          </w:p>
        </w:tc>
      </w:tr>
    </w:tbl>
    <w:p w:rsidR="00E85BA4" w:rsidRDefault="00065320" w:rsidP="0047120F">
      <w:pPr>
        <w:pStyle w:val="BodyTextIndent2"/>
        <w:spacing w:before="120" w:after="120"/>
        <w:ind w:right="-1" w:firstLine="709"/>
        <w:rPr>
          <w:sz w:val="24"/>
        </w:rPr>
      </w:pPr>
      <w:r>
        <w:rPr>
          <w:sz w:val="24"/>
        </w:rPr>
        <w:t xml:space="preserve"> </w:t>
      </w:r>
      <w:r w:rsidR="00C27291">
        <w:rPr>
          <w:sz w:val="24"/>
        </w:rPr>
        <w:t>M. Vekmani</w:t>
      </w:r>
      <w:r w:rsidR="00352323">
        <w:rPr>
          <w:sz w:val="24"/>
        </w:rPr>
        <w:t>s</w:t>
      </w:r>
      <w:r w:rsidR="00E85BA4">
        <w:rPr>
          <w:sz w:val="24"/>
        </w:rPr>
        <w:t xml:space="preserve"> </w:t>
      </w:r>
      <w:r w:rsidR="00E85BA4" w:rsidRPr="003152E7">
        <w:rPr>
          <w:sz w:val="24"/>
        </w:rPr>
        <w:t xml:space="preserve">informē par </w:t>
      </w:r>
      <w:r w:rsidR="00742F2D">
        <w:rPr>
          <w:sz w:val="24"/>
        </w:rPr>
        <w:t>Iepirkuma nolikumā (turpmāk – Nolikums)</w:t>
      </w:r>
      <w:r w:rsidR="00E85BA4" w:rsidRPr="003152E7">
        <w:rPr>
          <w:sz w:val="24"/>
        </w:rPr>
        <w:t xml:space="preserve"> n</w:t>
      </w:r>
      <w:r w:rsidR="00E85BA4">
        <w:rPr>
          <w:sz w:val="24"/>
        </w:rPr>
        <w:t>oteiktajām p</w:t>
      </w:r>
      <w:r w:rsidR="00E85BA4" w:rsidRPr="003152E7">
        <w:rPr>
          <w:sz w:val="24"/>
        </w:rPr>
        <w:t>retendenta kvalifikācijas prasībām un iesniedzamajiem dokumentiem: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371"/>
      </w:tblGrid>
      <w:tr w:rsidR="00171A05" w:rsidRPr="00B82918" w:rsidTr="00345924">
        <w:trPr>
          <w:trHeight w:val="486"/>
        </w:trPr>
        <w:tc>
          <w:tcPr>
            <w:tcW w:w="1985" w:type="dxa"/>
            <w:vAlign w:val="center"/>
          </w:tcPr>
          <w:p w:rsidR="00171A05" w:rsidRPr="00B82918" w:rsidRDefault="00171A05"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w:t>
            </w:r>
            <w:r>
              <w:rPr>
                <w:rFonts w:ascii="Times New Roman" w:hAnsi="Times New Roman"/>
                <w:noProof w:val="0"/>
                <w:sz w:val="24"/>
                <w:szCs w:val="24"/>
              </w:rPr>
              <w:t>apakš</w:t>
            </w:r>
            <w:r w:rsidRPr="00B82918">
              <w:rPr>
                <w:rFonts w:ascii="Times New Roman" w:hAnsi="Times New Roman"/>
                <w:noProof w:val="0"/>
                <w:sz w:val="24"/>
                <w:szCs w:val="24"/>
              </w:rPr>
              <w:t>punkta Nr.</w:t>
            </w:r>
          </w:p>
        </w:tc>
        <w:tc>
          <w:tcPr>
            <w:tcW w:w="7371" w:type="dxa"/>
            <w:vAlign w:val="center"/>
          </w:tcPr>
          <w:p w:rsidR="00171A05" w:rsidRPr="00B82918" w:rsidRDefault="00171A05"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prasības </w:t>
            </w:r>
          </w:p>
        </w:tc>
      </w:tr>
      <w:tr w:rsidR="00171A05" w:rsidRPr="00B82918" w:rsidTr="00345924">
        <w:trPr>
          <w:trHeight w:val="217"/>
        </w:trPr>
        <w:tc>
          <w:tcPr>
            <w:tcW w:w="1985" w:type="dxa"/>
            <w:vAlign w:val="center"/>
          </w:tcPr>
          <w:p w:rsidR="00171A05" w:rsidRPr="00B82918" w:rsidRDefault="00171A05" w:rsidP="00345924">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4.1.1.</w:t>
            </w:r>
          </w:p>
        </w:tc>
        <w:tc>
          <w:tcPr>
            <w:tcW w:w="7371" w:type="dxa"/>
            <w:vAlign w:val="center"/>
          </w:tcPr>
          <w:p w:rsidR="00171A05" w:rsidRPr="00385FF6" w:rsidRDefault="00071A38" w:rsidP="00345924">
            <w:pPr>
              <w:spacing w:after="0" w:line="240" w:lineRule="auto"/>
              <w:jc w:val="both"/>
              <w:rPr>
                <w:rFonts w:ascii="Times New Roman" w:hAnsi="Times New Roman"/>
                <w:noProof w:val="0"/>
                <w:sz w:val="24"/>
                <w:szCs w:val="24"/>
              </w:rPr>
            </w:pPr>
            <w:r w:rsidRPr="00071A38">
              <w:rPr>
                <w:rFonts w:ascii="Times New Roman" w:hAnsi="Times New Roman"/>
                <w:bCs/>
                <w:sz w:val="24"/>
                <w:szCs w:val="24"/>
              </w:rPr>
              <w:t>saskaņā ar Ministru kabineta 2015.gada 30.jūnija noteikumiem Nr.337 "Noteikumi par Latvijas būvnormatīvu LBN 405–15 "Būvju tehniskā apsekošana"" jāiesniedz attiecīga sertifikāta (ēku tehniskās apsekošanas veikšanai) kopija</w:t>
            </w:r>
            <w:r w:rsidR="00171A05" w:rsidRPr="00385FF6">
              <w:rPr>
                <w:rFonts w:ascii="Times New Roman" w:eastAsia="Times New Roman" w:hAnsi="Times New Roman"/>
                <w:noProof w:val="0"/>
                <w:color w:val="000000"/>
                <w:sz w:val="24"/>
                <w:szCs w:val="24"/>
                <w:lang w:eastAsia="lv-LV"/>
              </w:rPr>
              <w:t>.</w:t>
            </w:r>
          </w:p>
        </w:tc>
      </w:tr>
      <w:tr w:rsidR="00171A05" w:rsidRPr="00B82918" w:rsidTr="004E3098">
        <w:trPr>
          <w:trHeight w:val="600"/>
        </w:trPr>
        <w:tc>
          <w:tcPr>
            <w:tcW w:w="1985" w:type="dxa"/>
            <w:vAlign w:val="center"/>
          </w:tcPr>
          <w:p w:rsidR="00171A05" w:rsidRPr="00B82918" w:rsidRDefault="00171A05"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4.1.2.</w:t>
            </w:r>
          </w:p>
        </w:tc>
        <w:tc>
          <w:tcPr>
            <w:tcW w:w="7371" w:type="dxa"/>
            <w:vAlign w:val="center"/>
          </w:tcPr>
          <w:p w:rsidR="00171A05" w:rsidRPr="004E3098" w:rsidRDefault="00071A38" w:rsidP="00345924">
            <w:pPr>
              <w:spacing w:after="0" w:line="240" w:lineRule="auto"/>
              <w:jc w:val="both"/>
              <w:rPr>
                <w:rFonts w:ascii="Times New Roman" w:hAnsi="Times New Roman"/>
                <w:sz w:val="24"/>
                <w:szCs w:val="24"/>
              </w:rPr>
            </w:pPr>
            <w:r w:rsidRPr="00071A38">
              <w:rPr>
                <w:rFonts w:ascii="Times New Roman" w:hAnsi="Times New Roman"/>
                <w:b/>
                <w:sz w:val="24"/>
                <w:szCs w:val="24"/>
              </w:rPr>
              <w:t>apliecinājums</w:t>
            </w:r>
            <w:r w:rsidRPr="00071A38">
              <w:rPr>
                <w:rFonts w:ascii="Times New Roman" w:hAnsi="Times New Roman"/>
                <w:sz w:val="24"/>
                <w:szCs w:val="24"/>
              </w:rPr>
              <w:t>,</w:t>
            </w:r>
            <w:r w:rsidRPr="00071A38">
              <w:rPr>
                <w:rFonts w:ascii="Times New Roman" w:hAnsi="Times New Roman"/>
                <w:b/>
                <w:sz w:val="24"/>
                <w:szCs w:val="24"/>
              </w:rPr>
              <w:t xml:space="preserve"> </w:t>
            </w:r>
            <w:r w:rsidRPr="00071A38">
              <w:rPr>
                <w:rFonts w:ascii="Times New Roman" w:hAnsi="Times New Roman"/>
                <w:sz w:val="24"/>
                <w:szCs w:val="24"/>
              </w:rPr>
              <w:t>ka Pretendentam pakalpojuma sniegšanai ir nepieciešamās iekārtas un legāla (licenzēta) programmatūra</w:t>
            </w:r>
            <w:r w:rsidR="004E3098">
              <w:rPr>
                <w:rFonts w:ascii="Times New Roman" w:hAnsi="Times New Roman"/>
                <w:sz w:val="24"/>
                <w:szCs w:val="24"/>
              </w:rPr>
              <w:t>.</w:t>
            </w:r>
          </w:p>
        </w:tc>
      </w:tr>
      <w:tr w:rsidR="00171A05" w:rsidRPr="00B82918" w:rsidTr="00345924">
        <w:trPr>
          <w:trHeight w:val="420"/>
        </w:trPr>
        <w:tc>
          <w:tcPr>
            <w:tcW w:w="1985" w:type="dxa"/>
            <w:vAlign w:val="center"/>
          </w:tcPr>
          <w:p w:rsidR="00171A05" w:rsidRPr="00B82918" w:rsidRDefault="00171A05" w:rsidP="00345924">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w:t>
            </w:r>
            <w:r>
              <w:rPr>
                <w:rFonts w:ascii="Times New Roman" w:hAnsi="Times New Roman"/>
                <w:noProof w:val="0"/>
                <w:sz w:val="24"/>
                <w:szCs w:val="24"/>
              </w:rPr>
              <w:t>3</w:t>
            </w:r>
            <w:r w:rsidRPr="00B82918">
              <w:rPr>
                <w:rFonts w:ascii="Times New Roman" w:hAnsi="Times New Roman"/>
                <w:noProof w:val="0"/>
                <w:sz w:val="24"/>
                <w:szCs w:val="24"/>
              </w:rPr>
              <w:t>.</w:t>
            </w:r>
          </w:p>
        </w:tc>
        <w:tc>
          <w:tcPr>
            <w:tcW w:w="7371" w:type="dxa"/>
            <w:vAlign w:val="center"/>
          </w:tcPr>
          <w:p w:rsidR="00171A05" w:rsidRPr="00385FF6" w:rsidRDefault="00071A38" w:rsidP="00345924">
            <w:pPr>
              <w:spacing w:after="0" w:line="240" w:lineRule="auto"/>
              <w:jc w:val="both"/>
              <w:rPr>
                <w:rFonts w:ascii="Times New Roman" w:hAnsi="Times New Roman"/>
                <w:noProof w:val="0"/>
                <w:sz w:val="24"/>
                <w:szCs w:val="24"/>
              </w:rPr>
            </w:pPr>
            <w:r w:rsidRPr="00071A38">
              <w:rPr>
                <w:rFonts w:ascii="Times New Roman" w:hAnsi="Times New Roman"/>
                <w:b/>
                <w:bCs/>
                <w:sz w:val="24"/>
                <w:szCs w:val="24"/>
              </w:rPr>
              <w:t>apliecinājums,</w:t>
            </w:r>
            <w:r w:rsidRPr="00071A38">
              <w:rPr>
                <w:rFonts w:ascii="Times New Roman" w:hAnsi="Times New Roman"/>
                <w:sz w:val="24"/>
                <w:szCs w:val="24"/>
              </w:rPr>
              <w:t xml:space="preserve"> ka Pretendents darbojas ēku tehniskās apsekošanas pakalpojumu sniegšanai jomā, un pēdējo 3 (trīs) gadu (2014., 2015. un 2016.gada) un 2017.gada (līdz piedāvājuma iesniegšanas brīdim) laikā Pretendentam ir pieredze </w:t>
            </w:r>
            <w:r w:rsidRPr="00071A38">
              <w:rPr>
                <w:rFonts w:ascii="Times New Roman" w:hAnsi="Times New Roman"/>
                <w:bCs/>
                <w:sz w:val="24"/>
                <w:szCs w:val="24"/>
              </w:rPr>
              <w:t xml:space="preserve">vismaz 3 (trīs) iepirkuma priekšmetam atbilstošu līgumu izpildē juridiskām personām vai valsts pārvaldes iestādēm. Par Iepirkuma priekšmetam atbilstošu līgumu tiks uzskatīts tāds līgums, kura ietvaros gada laikā ir izpildīts tāds pakalpojuma apjoms, kas nav mazāks par Tehniskajā specifikācijā norādīto Nolikuma ieplānoto </w:t>
            </w:r>
            <w:r w:rsidRPr="00071A38">
              <w:rPr>
                <w:rFonts w:ascii="Times New Roman" w:hAnsi="Times New Roman"/>
                <w:sz w:val="24"/>
                <w:szCs w:val="24"/>
              </w:rPr>
              <w:t xml:space="preserve">tehniskās apsekošanas pakalpojumu </w:t>
            </w:r>
            <w:r w:rsidRPr="00071A38">
              <w:rPr>
                <w:rFonts w:ascii="Times New Roman" w:hAnsi="Times New Roman"/>
                <w:bCs/>
                <w:sz w:val="24"/>
                <w:szCs w:val="24"/>
              </w:rPr>
              <w:t>izpildes apjomu</w:t>
            </w:r>
            <w:r w:rsidR="00385FF6">
              <w:rPr>
                <w:rFonts w:ascii="Times New Roman" w:hAnsi="Times New Roman"/>
                <w:color w:val="000000"/>
                <w:sz w:val="24"/>
                <w:szCs w:val="24"/>
              </w:rPr>
              <w:t>.</w:t>
            </w:r>
          </w:p>
        </w:tc>
      </w:tr>
      <w:tr w:rsidR="00171A05" w:rsidRPr="00B82918" w:rsidTr="00345924">
        <w:trPr>
          <w:trHeight w:val="420"/>
        </w:trPr>
        <w:tc>
          <w:tcPr>
            <w:tcW w:w="1985" w:type="dxa"/>
            <w:vAlign w:val="center"/>
          </w:tcPr>
          <w:p w:rsidR="00171A05" w:rsidRPr="00B82918" w:rsidRDefault="006A2AEB"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4.1.4.</w:t>
            </w:r>
          </w:p>
        </w:tc>
        <w:tc>
          <w:tcPr>
            <w:tcW w:w="7371" w:type="dxa"/>
            <w:vAlign w:val="center"/>
          </w:tcPr>
          <w:p w:rsidR="00171A05" w:rsidRPr="00F11B68" w:rsidRDefault="00071A38" w:rsidP="00345924">
            <w:pPr>
              <w:spacing w:after="0" w:line="240" w:lineRule="auto"/>
              <w:jc w:val="both"/>
              <w:rPr>
                <w:rFonts w:ascii="Times New Roman" w:hAnsi="Times New Roman"/>
                <w:sz w:val="24"/>
                <w:szCs w:val="24"/>
              </w:rPr>
            </w:pPr>
            <w:r w:rsidRPr="00071A38">
              <w:rPr>
                <w:rFonts w:ascii="Times New Roman" w:hAnsi="Times New Roman"/>
                <w:bCs/>
                <w:sz w:val="24"/>
                <w:szCs w:val="24"/>
              </w:rPr>
              <w:t>Pretendentam</w:t>
            </w:r>
            <w:r w:rsidRPr="00071A38">
              <w:rPr>
                <w:rFonts w:ascii="Times New Roman" w:hAnsi="Times New Roman"/>
                <w:b/>
                <w:bCs/>
                <w:sz w:val="24"/>
                <w:szCs w:val="24"/>
              </w:rPr>
              <w:t xml:space="preserve"> jāiesniedz atsauksmes </w:t>
            </w:r>
            <w:r w:rsidRPr="00071A38">
              <w:rPr>
                <w:rFonts w:ascii="Times New Roman" w:hAnsi="Times New Roman"/>
                <w:bCs/>
                <w:sz w:val="24"/>
                <w:szCs w:val="24"/>
              </w:rPr>
              <w:t>vai</w:t>
            </w:r>
            <w:r w:rsidRPr="00071A38">
              <w:rPr>
                <w:rFonts w:ascii="Times New Roman" w:hAnsi="Times New Roman"/>
                <w:b/>
                <w:bCs/>
                <w:sz w:val="24"/>
                <w:szCs w:val="24"/>
              </w:rPr>
              <w:t xml:space="preserve"> citi pierādījumi </w:t>
            </w:r>
            <w:r w:rsidRPr="00071A38">
              <w:rPr>
                <w:rFonts w:ascii="Times New Roman" w:hAnsi="Times New Roman"/>
                <w:sz w:val="24"/>
                <w:szCs w:val="24"/>
              </w:rPr>
              <w:t xml:space="preserve">no Nolikuma 4.1.3.apakšpunktā minēto pakalpojumu saņēmējiem. </w:t>
            </w:r>
            <w:r w:rsidRPr="00071A38">
              <w:rPr>
                <w:rFonts w:ascii="Times New Roman" w:hAnsi="Times New Roman"/>
                <w:b/>
                <w:sz w:val="24"/>
                <w:szCs w:val="24"/>
              </w:rPr>
              <w:t>Atsauksmēs</w:t>
            </w:r>
            <w:r w:rsidRPr="00071A38">
              <w:rPr>
                <w:rFonts w:ascii="Times New Roman" w:hAnsi="Times New Roman"/>
                <w:sz w:val="24"/>
                <w:szCs w:val="24"/>
              </w:rPr>
              <w:t xml:space="preserve"> vai </w:t>
            </w:r>
            <w:r w:rsidRPr="00071A38">
              <w:rPr>
                <w:rFonts w:ascii="Times New Roman" w:hAnsi="Times New Roman"/>
                <w:b/>
                <w:sz w:val="24"/>
                <w:szCs w:val="24"/>
              </w:rPr>
              <w:t>citos pierādījumos</w:t>
            </w:r>
            <w:r w:rsidRPr="00071A38">
              <w:rPr>
                <w:rFonts w:ascii="Times New Roman" w:hAnsi="Times New Roman"/>
                <w:sz w:val="24"/>
                <w:szCs w:val="24"/>
              </w:rPr>
              <w:t xml:space="preserve"> jābūt norādei vai līgums tika izpildīts noteiktajā termiņā un kvalitatīvi</w:t>
            </w:r>
            <w:r w:rsidR="00171A05" w:rsidRPr="009F1110">
              <w:rPr>
                <w:rFonts w:ascii="Times New Roman" w:eastAsia="Times New Roman" w:hAnsi="Times New Roman"/>
                <w:noProof w:val="0"/>
                <w:sz w:val="24"/>
                <w:szCs w:val="24"/>
                <w:lang w:eastAsia="lv-LV"/>
              </w:rPr>
              <w:t>.</w:t>
            </w:r>
          </w:p>
        </w:tc>
      </w:tr>
    </w:tbl>
    <w:p w:rsidR="00E85BA4" w:rsidRDefault="00C27291" w:rsidP="00E85BA4">
      <w:pPr>
        <w:spacing w:before="120" w:after="120"/>
        <w:ind w:right="-93" w:firstLine="567"/>
        <w:jc w:val="both"/>
        <w:rPr>
          <w:rFonts w:ascii="Times New Roman" w:hAnsi="Times New Roman"/>
          <w:noProof w:val="0"/>
          <w:sz w:val="24"/>
          <w:szCs w:val="24"/>
        </w:rPr>
      </w:pPr>
      <w:r>
        <w:rPr>
          <w:rFonts w:ascii="Times New Roman" w:hAnsi="Times New Roman"/>
          <w:noProof w:val="0"/>
          <w:sz w:val="24"/>
          <w:szCs w:val="24"/>
        </w:rPr>
        <w:t>M. Vekmanis</w:t>
      </w:r>
      <w:r w:rsidR="00E85BA4">
        <w:rPr>
          <w:rFonts w:ascii="Times New Roman" w:hAnsi="Times New Roman"/>
          <w:noProof w:val="0"/>
          <w:sz w:val="24"/>
          <w:szCs w:val="24"/>
        </w:rPr>
        <w:t xml:space="preserve"> ziņo par </w:t>
      </w:r>
      <w:r w:rsidR="00E85BA4" w:rsidRPr="003152E7">
        <w:rPr>
          <w:rFonts w:ascii="Times New Roman" w:hAnsi="Times New Roman"/>
          <w:noProof w:val="0"/>
          <w:sz w:val="24"/>
          <w:szCs w:val="24"/>
        </w:rPr>
        <w:t>pretendent</w:t>
      </w:r>
      <w:r w:rsidR="00E85BA4">
        <w:rPr>
          <w:rFonts w:ascii="Times New Roman" w:hAnsi="Times New Roman"/>
          <w:noProof w:val="0"/>
          <w:sz w:val="24"/>
          <w:szCs w:val="24"/>
        </w:rPr>
        <w:t>u iesniegto piedāvājumu</w:t>
      </w:r>
      <w:r w:rsidR="00E85BA4" w:rsidRPr="003152E7">
        <w:rPr>
          <w:rFonts w:ascii="Times New Roman" w:hAnsi="Times New Roman"/>
          <w:noProof w:val="0"/>
          <w:sz w:val="24"/>
          <w:szCs w:val="24"/>
        </w:rPr>
        <w:t xml:space="preserve"> atbilst</w:t>
      </w:r>
      <w:r w:rsidR="00E85BA4">
        <w:rPr>
          <w:rFonts w:ascii="Times New Roman" w:hAnsi="Times New Roman"/>
          <w:noProof w:val="0"/>
          <w:sz w:val="24"/>
          <w:szCs w:val="24"/>
        </w:rPr>
        <w:t>ību N</w:t>
      </w:r>
      <w:r w:rsidR="00E85BA4" w:rsidRPr="003152E7">
        <w:rPr>
          <w:rFonts w:ascii="Times New Roman" w:hAnsi="Times New Roman"/>
          <w:noProof w:val="0"/>
          <w:sz w:val="24"/>
          <w:szCs w:val="24"/>
        </w:rPr>
        <w:t>olikuma kvalifikācijas prasībām.</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3544"/>
        <w:gridCol w:w="3260"/>
      </w:tblGrid>
      <w:tr w:rsidR="00071A38" w:rsidRPr="00D6299F" w:rsidTr="00071A38">
        <w:trPr>
          <w:trHeight w:val="412"/>
        </w:trPr>
        <w:tc>
          <w:tcPr>
            <w:tcW w:w="2268" w:type="dxa"/>
            <w:vAlign w:val="center"/>
          </w:tcPr>
          <w:p w:rsidR="00071A38" w:rsidRPr="00D6299F" w:rsidRDefault="00071A38" w:rsidP="00071A38">
            <w:pPr>
              <w:pStyle w:val="NoSpacing"/>
              <w:jc w:val="center"/>
              <w:rPr>
                <w:rFonts w:ascii="Times New Roman" w:hAnsi="Times New Roman"/>
                <w:sz w:val="24"/>
                <w:szCs w:val="24"/>
              </w:rPr>
            </w:pPr>
            <w:r w:rsidRPr="00D6299F">
              <w:rPr>
                <w:rFonts w:ascii="Times New Roman" w:hAnsi="Times New Roman"/>
                <w:sz w:val="24"/>
                <w:szCs w:val="24"/>
              </w:rPr>
              <w:t>Nolikuma apakšpunkta Nr.</w:t>
            </w:r>
          </w:p>
        </w:tc>
        <w:tc>
          <w:tcPr>
            <w:tcW w:w="3544" w:type="dxa"/>
            <w:vAlign w:val="center"/>
          </w:tcPr>
          <w:p w:rsidR="00071A38" w:rsidRPr="00D6299F" w:rsidRDefault="00071A38" w:rsidP="00071A38">
            <w:pPr>
              <w:pStyle w:val="NoSpacing"/>
              <w:jc w:val="center"/>
              <w:rPr>
                <w:rFonts w:ascii="Times New Roman" w:hAnsi="Times New Roman"/>
                <w:bCs/>
                <w:sz w:val="24"/>
                <w:szCs w:val="24"/>
                <w:lang w:eastAsia="lv-LV"/>
              </w:rPr>
            </w:pPr>
            <w:r>
              <w:rPr>
                <w:rFonts w:ascii="Times New Roman" w:hAnsi="Times New Roman"/>
                <w:bCs/>
                <w:sz w:val="24"/>
                <w:szCs w:val="24"/>
                <w:lang w:eastAsia="lv-LV"/>
              </w:rPr>
              <w:t>SIA „BALTS UN MELN</w:t>
            </w:r>
            <w:r w:rsidRPr="00D6299F">
              <w:rPr>
                <w:rFonts w:ascii="Times New Roman" w:hAnsi="Times New Roman"/>
                <w:bCs/>
                <w:sz w:val="24"/>
                <w:szCs w:val="24"/>
                <w:lang w:eastAsia="lv-LV"/>
              </w:rPr>
              <w:t xml:space="preserve">S” </w:t>
            </w:r>
          </w:p>
        </w:tc>
        <w:tc>
          <w:tcPr>
            <w:tcW w:w="3260" w:type="dxa"/>
            <w:vAlign w:val="center"/>
          </w:tcPr>
          <w:p w:rsidR="00071A38" w:rsidRPr="00071A38" w:rsidRDefault="00071A38" w:rsidP="00071A38">
            <w:pPr>
              <w:pStyle w:val="NoSpacing"/>
              <w:jc w:val="center"/>
              <w:rPr>
                <w:rFonts w:ascii="Times New Roman" w:hAnsi="Times New Roman"/>
                <w:bCs/>
                <w:sz w:val="24"/>
                <w:szCs w:val="24"/>
                <w:lang w:eastAsia="lv-LV"/>
              </w:rPr>
            </w:pPr>
            <w:r>
              <w:rPr>
                <w:rFonts w:ascii="Times New Roman" w:hAnsi="Times New Roman"/>
                <w:sz w:val="24"/>
                <w:szCs w:val="24"/>
              </w:rPr>
              <w:t>SIA „Forma 2</w:t>
            </w:r>
            <w:r w:rsidRPr="00071A38">
              <w:rPr>
                <w:rFonts w:ascii="Times New Roman" w:hAnsi="Times New Roman"/>
                <w:sz w:val="24"/>
                <w:szCs w:val="24"/>
              </w:rPr>
              <w:t>”</w:t>
            </w:r>
          </w:p>
        </w:tc>
      </w:tr>
      <w:tr w:rsidR="00071A38" w:rsidRPr="00D6299F" w:rsidTr="00071A38">
        <w:tc>
          <w:tcPr>
            <w:tcW w:w="2268" w:type="dxa"/>
            <w:vAlign w:val="center"/>
          </w:tcPr>
          <w:p w:rsidR="00071A38" w:rsidRPr="00D6299F" w:rsidRDefault="00071A38" w:rsidP="00071A38">
            <w:pPr>
              <w:pStyle w:val="NoSpacing"/>
              <w:jc w:val="center"/>
              <w:rPr>
                <w:rFonts w:ascii="Times New Roman" w:hAnsi="Times New Roman"/>
                <w:sz w:val="24"/>
                <w:szCs w:val="24"/>
              </w:rPr>
            </w:pPr>
            <w:r w:rsidRPr="00D6299F">
              <w:rPr>
                <w:rFonts w:ascii="Times New Roman" w:hAnsi="Times New Roman"/>
                <w:sz w:val="24"/>
                <w:szCs w:val="24"/>
              </w:rPr>
              <w:t>4.1.1.</w:t>
            </w:r>
          </w:p>
        </w:tc>
        <w:tc>
          <w:tcPr>
            <w:tcW w:w="3544" w:type="dxa"/>
            <w:vAlign w:val="center"/>
          </w:tcPr>
          <w:p w:rsidR="00071A38" w:rsidRPr="00D6299F" w:rsidRDefault="00071A38" w:rsidP="00071A38">
            <w:pPr>
              <w:pStyle w:val="NoSpacing"/>
              <w:jc w:val="center"/>
              <w:rPr>
                <w:rFonts w:ascii="Times New Roman" w:hAnsi="Times New Roman"/>
                <w:sz w:val="24"/>
                <w:szCs w:val="24"/>
              </w:rPr>
            </w:pPr>
            <w:r w:rsidRPr="00D6299F">
              <w:rPr>
                <w:rFonts w:ascii="Times New Roman" w:hAnsi="Times New Roman"/>
                <w:sz w:val="24"/>
                <w:szCs w:val="24"/>
              </w:rPr>
              <w:t>Ir iesniegts/atbilst</w:t>
            </w:r>
          </w:p>
        </w:tc>
        <w:tc>
          <w:tcPr>
            <w:tcW w:w="3260" w:type="dxa"/>
            <w:vAlign w:val="center"/>
          </w:tcPr>
          <w:p w:rsidR="00071A38" w:rsidRPr="00071A38" w:rsidRDefault="00071A38" w:rsidP="00071A38">
            <w:pPr>
              <w:pStyle w:val="NoSpacing"/>
              <w:jc w:val="center"/>
              <w:rPr>
                <w:rFonts w:ascii="Times New Roman" w:hAnsi="Times New Roman"/>
                <w:sz w:val="24"/>
                <w:szCs w:val="24"/>
              </w:rPr>
            </w:pPr>
            <w:r w:rsidRPr="00071A38">
              <w:rPr>
                <w:rFonts w:ascii="Times New Roman" w:hAnsi="Times New Roman"/>
                <w:sz w:val="24"/>
                <w:szCs w:val="24"/>
              </w:rPr>
              <w:t>Ir iesniegts/atbilst</w:t>
            </w:r>
          </w:p>
        </w:tc>
      </w:tr>
      <w:tr w:rsidR="00071A38" w:rsidRPr="00D6299F" w:rsidTr="00071A38">
        <w:tc>
          <w:tcPr>
            <w:tcW w:w="2268" w:type="dxa"/>
            <w:vAlign w:val="center"/>
          </w:tcPr>
          <w:p w:rsidR="00071A38" w:rsidRPr="00D6299F" w:rsidRDefault="00071A38" w:rsidP="00071A38">
            <w:pPr>
              <w:pStyle w:val="NoSpacing"/>
              <w:jc w:val="center"/>
              <w:rPr>
                <w:rFonts w:ascii="Times New Roman" w:hAnsi="Times New Roman"/>
                <w:sz w:val="24"/>
                <w:szCs w:val="24"/>
              </w:rPr>
            </w:pPr>
            <w:r w:rsidRPr="00D6299F">
              <w:rPr>
                <w:rFonts w:ascii="Times New Roman" w:hAnsi="Times New Roman"/>
                <w:sz w:val="24"/>
                <w:szCs w:val="24"/>
              </w:rPr>
              <w:t>4.1.2.</w:t>
            </w:r>
          </w:p>
        </w:tc>
        <w:tc>
          <w:tcPr>
            <w:tcW w:w="3544" w:type="dxa"/>
          </w:tcPr>
          <w:p w:rsidR="00071A38" w:rsidRPr="00D6299F" w:rsidRDefault="00071A38" w:rsidP="00071A38">
            <w:pPr>
              <w:pStyle w:val="NoSpacing"/>
              <w:jc w:val="center"/>
              <w:rPr>
                <w:rFonts w:ascii="Times New Roman" w:hAnsi="Times New Roman"/>
                <w:sz w:val="24"/>
                <w:szCs w:val="24"/>
              </w:rPr>
            </w:pPr>
            <w:r w:rsidRPr="00D6299F">
              <w:rPr>
                <w:rFonts w:ascii="Times New Roman" w:hAnsi="Times New Roman"/>
                <w:sz w:val="24"/>
                <w:szCs w:val="24"/>
              </w:rPr>
              <w:t>Ir iesniegts/atbilst</w:t>
            </w:r>
          </w:p>
        </w:tc>
        <w:tc>
          <w:tcPr>
            <w:tcW w:w="3260" w:type="dxa"/>
            <w:vAlign w:val="center"/>
          </w:tcPr>
          <w:p w:rsidR="00071A38" w:rsidRPr="00071A38" w:rsidRDefault="00071A38" w:rsidP="00071A38">
            <w:pPr>
              <w:pStyle w:val="NoSpacing"/>
              <w:jc w:val="center"/>
              <w:rPr>
                <w:rFonts w:ascii="Times New Roman" w:hAnsi="Times New Roman"/>
                <w:sz w:val="24"/>
                <w:szCs w:val="24"/>
              </w:rPr>
            </w:pPr>
            <w:r w:rsidRPr="00071A38">
              <w:rPr>
                <w:rFonts w:ascii="Times New Roman" w:hAnsi="Times New Roman"/>
                <w:sz w:val="24"/>
                <w:szCs w:val="24"/>
              </w:rPr>
              <w:t>Ir iesniegts/atbilst</w:t>
            </w:r>
          </w:p>
        </w:tc>
      </w:tr>
      <w:tr w:rsidR="00071A38" w:rsidRPr="00D6299F" w:rsidTr="00071A38">
        <w:tc>
          <w:tcPr>
            <w:tcW w:w="2268" w:type="dxa"/>
            <w:vAlign w:val="center"/>
          </w:tcPr>
          <w:p w:rsidR="00071A38" w:rsidRPr="00D6299F" w:rsidRDefault="00071A38" w:rsidP="00071A38">
            <w:pPr>
              <w:pStyle w:val="NoSpacing"/>
              <w:jc w:val="center"/>
              <w:rPr>
                <w:rFonts w:ascii="Times New Roman" w:hAnsi="Times New Roman"/>
                <w:sz w:val="24"/>
                <w:szCs w:val="24"/>
              </w:rPr>
            </w:pPr>
            <w:r w:rsidRPr="00D6299F">
              <w:rPr>
                <w:rFonts w:ascii="Times New Roman" w:hAnsi="Times New Roman"/>
                <w:sz w:val="24"/>
                <w:szCs w:val="24"/>
              </w:rPr>
              <w:t>4.1.3.</w:t>
            </w:r>
          </w:p>
        </w:tc>
        <w:tc>
          <w:tcPr>
            <w:tcW w:w="3544" w:type="dxa"/>
          </w:tcPr>
          <w:p w:rsidR="00071A38" w:rsidRPr="00D6299F" w:rsidRDefault="00071A38" w:rsidP="00071A38">
            <w:pPr>
              <w:pStyle w:val="NoSpacing"/>
              <w:jc w:val="center"/>
              <w:rPr>
                <w:rFonts w:ascii="Times New Roman" w:hAnsi="Times New Roman"/>
                <w:sz w:val="24"/>
                <w:szCs w:val="24"/>
              </w:rPr>
            </w:pPr>
            <w:r w:rsidRPr="00D6299F">
              <w:rPr>
                <w:rFonts w:ascii="Times New Roman" w:hAnsi="Times New Roman"/>
                <w:sz w:val="24"/>
                <w:szCs w:val="24"/>
              </w:rPr>
              <w:t>Ir iesniegts/atbilst</w:t>
            </w:r>
          </w:p>
        </w:tc>
        <w:tc>
          <w:tcPr>
            <w:tcW w:w="3260" w:type="dxa"/>
            <w:vAlign w:val="center"/>
          </w:tcPr>
          <w:p w:rsidR="00071A38" w:rsidRPr="00071A38" w:rsidRDefault="00071A38" w:rsidP="00071A38">
            <w:pPr>
              <w:pStyle w:val="NoSpacing"/>
              <w:jc w:val="center"/>
              <w:rPr>
                <w:rFonts w:ascii="Times New Roman" w:hAnsi="Times New Roman"/>
                <w:sz w:val="24"/>
                <w:szCs w:val="24"/>
              </w:rPr>
            </w:pPr>
            <w:r w:rsidRPr="00071A38">
              <w:rPr>
                <w:rFonts w:ascii="Times New Roman" w:hAnsi="Times New Roman"/>
                <w:sz w:val="24"/>
                <w:szCs w:val="24"/>
              </w:rPr>
              <w:t>Ir iesniegts/atbilst</w:t>
            </w:r>
          </w:p>
        </w:tc>
      </w:tr>
      <w:tr w:rsidR="00071A38" w:rsidRPr="00D6299F" w:rsidTr="00071A38">
        <w:tc>
          <w:tcPr>
            <w:tcW w:w="2268" w:type="dxa"/>
            <w:vAlign w:val="center"/>
          </w:tcPr>
          <w:p w:rsidR="00071A38" w:rsidRPr="00D6299F" w:rsidRDefault="00071A38" w:rsidP="00071A38">
            <w:pPr>
              <w:pStyle w:val="NoSpacing"/>
              <w:jc w:val="center"/>
              <w:rPr>
                <w:rFonts w:ascii="Times New Roman" w:hAnsi="Times New Roman"/>
                <w:sz w:val="24"/>
                <w:szCs w:val="24"/>
              </w:rPr>
            </w:pPr>
            <w:r w:rsidRPr="00D6299F">
              <w:rPr>
                <w:rFonts w:ascii="Times New Roman" w:hAnsi="Times New Roman"/>
                <w:sz w:val="24"/>
                <w:szCs w:val="24"/>
              </w:rPr>
              <w:t>4.1.4.</w:t>
            </w:r>
          </w:p>
        </w:tc>
        <w:tc>
          <w:tcPr>
            <w:tcW w:w="3544" w:type="dxa"/>
          </w:tcPr>
          <w:p w:rsidR="00071A38" w:rsidRPr="00D6299F" w:rsidRDefault="00071A38" w:rsidP="00071A38">
            <w:pPr>
              <w:pStyle w:val="NoSpacing"/>
              <w:jc w:val="center"/>
              <w:rPr>
                <w:rFonts w:ascii="Times New Roman" w:hAnsi="Times New Roman"/>
                <w:sz w:val="24"/>
                <w:szCs w:val="24"/>
              </w:rPr>
            </w:pPr>
            <w:r w:rsidRPr="00D6299F">
              <w:rPr>
                <w:rFonts w:ascii="Times New Roman" w:hAnsi="Times New Roman"/>
                <w:sz w:val="24"/>
                <w:szCs w:val="24"/>
              </w:rPr>
              <w:t>Ir iesniegts/atbilst</w:t>
            </w:r>
          </w:p>
        </w:tc>
        <w:tc>
          <w:tcPr>
            <w:tcW w:w="3260" w:type="dxa"/>
            <w:vAlign w:val="center"/>
          </w:tcPr>
          <w:p w:rsidR="00071A38" w:rsidRPr="00071A38" w:rsidRDefault="00071A38" w:rsidP="00071A38">
            <w:pPr>
              <w:pStyle w:val="NoSpacing"/>
              <w:jc w:val="center"/>
              <w:rPr>
                <w:rFonts w:ascii="Times New Roman" w:hAnsi="Times New Roman"/>
                <w:sz w:val="24"/>
                <w:szCs w:val="24"/>
              </w:rPr>
            </w:pPr>
            <w:r w:rsidRPr="00071A38">
              <w:rPr>
                <w:rFonts w:ascii="Times New Roman" w:hAnsi="Times New Roman"/>
                <w:sz w:val="24"/>
                <w:szCs w:val="24"/>
              </w:rPr>
              <w:t>Ir iesniegts/atbilst</w:t>
            </w:r>
          </w:p>
        </w:tc>
      </w:tr>
    </w:tbl>
    <w:p w:rsidR="00503C2A" w:rsidRDefault="00503C2A" w:rsidP="00503C2A">
      <w:pPr>
        <w:pStyle w:val="NoSpacing"/>
        <w:jc w:val="both"/>
        <w:rPr>
          <w:rFonts w:ascii="Times New Roman" w:hAnsi="Times New Roman"/>
          <w:bCs/>
          <w:noProof w:val="0"/>
          <w:sz w:val="24"/>
          <w:szCs w:val="24"/>
          <w:lang w:eastAsia="lv-LV"/>
        </w:rPr>
      </w:pPr>
    </w:p>
    <w:p w:rsidR="00895D5E" w:rsidRPr="002E45F2" w:rsidRDefault="00071A38" w:rsidP="00895D5E">
      <w:pPr>
        <w:spacing w:before="120" w:after="0" w:line="240" w:lineRule="auto"/>
        <w:ind w:firstLine="709"/>
        <w:jc w:val="both"/>
        <w:rPr>
          <w:rFonts w:ascii="Times New Roman" w:hAnsi="Times New Roman"/>
          <w:sz w:val="24"/>
          <w:szCs w:val="24"/>
        </w:rPr>
      </w:pPr>
      <w:r>
        <w:rPr>
          <w:rFonts w:ascii="Times New Roman" w:hAnsi="Times New Roman"/>
          <w:bCs/>
          <w:noProof w:val="0"/>
          <w:sz w:val="24"/>
          <w:szCs w:val="24"/>
          <w:lang w:eastAsia="lv-LV"/>
        </w:rPr>
        <w:t>V. Petruhin</w:t>
      </w:r>
      <w:r w:rsidR="00895D5E" w:rsidRPr="002E45F2">
        <w:rPr>
          <w:rFonts w:ascii="Times New Roman" w:hAnsi="Times New Roman"/>
          <w:bCs/>
          <w:noProof w:val="0"/>
          <w:sz w:val="24"/>
          <w:szCs w:val="24"/>
          <w:lang w:eastAsia="lv-LV"/>
        </w:rPr>
        <w:t>s informē par Nolikumā noteiktajiem Tehniskās specifikācijas nosa</w:t>
      </w:r>
      <w:r>
        <w:rPr>
          <w:rFonts w:ascii="Times New Roman" w:hAnsi="Times New Roman"/>
          <w:bCs/>
          <w:noProof w:val="0"/>
          <w:sz w:val="24"/>
          <w:szCs w:val="24"/>
          <w:lang w:eastAsia="lv-LV"/>
        </w:rPr>
        <w:t>cījumiem un ziņo, ka pretendentu</w:t>
      </w:r>
      <w:r w:rsidR="002E45F2" w:rsidRPr="002E45F2">
        <w:rPr>
          <w:rFonts w:ascii="Times New Roman" w:hAnsi="Times New Roman"/>
          <w:sz w:val="24"/>
          <w:szCs w:val="24"/>
        </w:rPr>
        <w:t xml:space="preserve"> </w:t>
      </w:r>
      <w:r>
        <w:rPr>
          <w:rFonts w:ascii="Times New Roman" w:hAnsi="Times New Roman"/>
          <w:sz w:val="24"/>
          <w:szCs w:val="24"/>
        </w:rPr>
        <w:t>iesniegtie tehniskie</w:t>
      </w:r>
      <w:r w:rsidR="00895D5E" w:rsidRPr="002E45F2">
        <w:rPr>
          <w:rFonts w:ascii="Times New Roman" w:hAnsi="Times New Roman"/>
          <w:sz w:val="24"/>
          <w:szCs w:val="24"/>
        </w:rPr>
        <w:t xml:space="preserve"> </w:t>
      </w:r>
      <w:r>
        <w:rPr>
          <w:rFonts w:ascii="Times New Roman" w:hAnsi="Times New Roman"/>
          <w:sz w:val="24"/>
          <w:szCs w:val="24"/>
        </w:rPr>
        <w:t>piedāvājumi</w:t>
      </w:r>
      <w:r w:rsidR="00895D5E" w:rsidRPr="002E45F2">
        <w:rPr>
          <w:rFonts w:ascii="Times New Roman" w:hAnsi="Times New Roman"/>
          <w:sz w:val="24"/>
          <w:szCs w:val="24"/>
        </w:rPr>
        <w:t xml:space="preserve"> atbilst Nolikuma Tehniskās specifikācijas prasībām.</w:t>
      </w:r>
    </w:p>
    <w:p w:rsidR="00895D5E" w:rsidRPr="005557E7" w:rsidRDefault="00895D5E" w:rsidP="00895D5E">
      <w:pPr>
        <w:spacing w:after="0" w:line="240" w:lineRule="auto"/>
        <w:ind w:firstLine="709"/>
        <w:jc w:val="both"/>
        <w:rPr>
          <w:rFonts w:ascii="Times New Roman" w:hAnsi="Times New Roman"/>
          <w:bCs/>
          <w:noProof w:val="0"/>
          <w:sz w:val="24"/>
          <w:szCs w:val="24"/>
          <w:lang w:eastAsia="lv-LV"/>
        </w:rPr>
      </w:pPr>
      <w:r w:rsidRPr="002E45F2">
        <w:rPr>
          <w:rFonts w:ascii="Times New Roman" w:hAnsi="Times New Roman"/>
          <w:bCs/>
          <w:noProof w:val="0"/>
          <w:sz w:val="24"/>
          <w:szCs w:val="24"/>
          <w:lang w:eastAsia="lv-LV"/>
        </w:rPr>
        <w:t>N. Gruzdova ziņo, ka pretendent</w:t>
      </w:r>
      <w:r w:rsidR="00071A38">
        <w:rPr>
          <w:rFonts w:ascii="Times New Roman" w:hAnsi="Times New Roman"/>
          <w:bCs/>
          <w:noProof w:val="0"/>
          <w:sz w:val="24"/>
          <w:szCs w:val="24"/>
          <w:lang w:eastAsia="lv-LV"/>
        </w:rPr>
        <w:t>u piedāvājumi</w:t>
      </w:r>
      <w:r w:rsidRPr="003152E7">
        <w:rPr>
          <w:rFonts w:ascii="Times New Roman" w:hAnsi="Times New Roman"/>
          <w:bCs/>
          <w:noProof w:val="0"/>
          <w:sz w:val="24"/>
          <w:szCs w:val="24"/>
          <w:lang w:eastAsia="lv-LV"/>
        </w:rPr>
        <w:t xml:space="preserve"> ir pareizi n</w:t>
      </w:r>
      <w:r w:rsidR="00071A38">
        <w:rPr>
          <w:rFonts w:ascii="Times New Roman" w:hAnsi="Times New Roman"/>
          <w:bCs/>
          <w:noProof w:val="0"/>
          <w:sz w:val="24"/>
          <w:szCs w:val="24"/>
          <w:lang w:eastAsia="lv-LV"/>
        </w:rPr>
        <w:t>oformēti</w:t>
      </w:r>
      <w:r>
        <w:rPr>
          <w:rFonts w:ascii="Times New Roman" w:hAnsi="Times New Roman"/>
          <w:bCs/>
          <w:noProof w:val="0"/>
          <w:sz w:val="24"/>
          <w:szCs w:val="24"/>
          <w:lang w:eastAsia="lv-LV"/>
        </w:rPr>
        <w:t xml:space="preserve"> un atbilst Nolikuma </w:t>
      </w:r>
      <w:r w:rsidRPr="005557E7">
        <w:rPr>
          <w:rFonts w:ascii="Times New Roman" w:hAnsi="Times New Roman"/>
          <w:bCs/>
          <w:noProof w:val="0"/>
          <w:sz w:val="24"/>
          <w:szCs w:val="24"/>
          <w:lang w:eastAsia="lv-LV"/>
        </w:rPr>
        <w:t>prasībām.</w:t>
      </w:r>
    </w:p>
    <w:p w:rsidR="00742F2D" w:rsidRDefault="00576F77" w:rsidP="00742F2D">
      <w:pPr>
        <w:pStyle w:val="BodyTextIndent2"/>
        <w:spacing w:after="120"/>
        <w:ind w:right="-908" w:firstLine="567"/>
        <w:rPr>
          <w:sz w:val="24"/>
        </w:rPr>
      </w:pPr>
      <w:r>
        <w:rPr>
          <w:sz w:val="24"/>
          <w:lang w:val="lv-LV"/>
        </w:rPr>
        <w:t xml:space="preserve">   </w:t>
      </w:r>
      <w:r w:rsidR="00742F2D">
        <w:rPr>
          <w:sz w:val="24"/>
        </w:rPr>
        <w:t>I.</w:t>
      </w:r>
      <w:r w:rsidR="00742F2D">
        <w:rPr>
          <w:sz w:val="24"/>
          <w:lang w:val="lv-LV"/>
        </w:rPr>
        <w:t xml:space="preserve"> </w:t>
      </w:r>
      <w:r w:rsidR="00742F2D">
        <w:rPr>
          <w:sz w:val="24"/>
        </w:rPr>
        <w:t>Mali</w:t>
      </w:r>
      <w:r w:rsidR="00742F2D">
        <w:rPr>
          <w:sz w:val="24"/>
          <w:lang w:val="lv-LV"/>
        </w:rPr>
        <w:t>šev</w:t>
      </w:r>
      <w:r w:rsidR="00742F2D">
        <w:rPr>
          <w:sz w:val="24"/>
        </w:rPr>
        <w:t>a</w:t>
      </w:r>
      <w:r w:rsidR="00742F2D" w:rsidRPr="005557E7">
        <w:rPr>
          <w:sz w:val="24"/>
        </w:rPr>
        <w:t xml:space="preserve"> </w:t>
      </w:r>
      <w:r w:rsidR="00071A38">
        <w:rPr>
          <w:sz w:val="24"/>
        </w:rPr>
        <w:t>nosauc pretendentu</w:t>
      </w:r>
      <w:r w:rsidR="00742F2D">
        <w:rPr>
          <w:sz w:val="24"/>
        </w:rPr>
        <w:t xml:space="preserve"> finanšu piedāvājumu</w:t>
      </w:r>
      <w:r w:rsidR="00071A38">
        <w:rPr>
          <w:sz w:val="24"/>
          <w:lang w:val="lv-LV"/>
        </w:rPr>
        <w:t>s</w:t>
      </w:r>
      <w:r w:rsidR="00742F2D" w:rsidRPr="000B5C0D">
        <w:rPr>
          <w:sz w:val="24"/>
        </w:rPr>
        <w:t>:</w:t>
      </w:r>
    </w:p>
    <w:tbl>
      <w:tblPr>
        <w:tblpPr w:leftFromText="180" w:rightFromText="180" w:vertAnchor="text" w:tblpX="-43"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2268"/>
        <w:gridCol w:w="2268"/>
        <w:gridCol w:w="2552"/>
      </w:tblGrid>
      <w:tr w:rsidR="00F14AB6" w:rsidRPr="00F14AB6" w:rsidTr="00F14AB6">
        <w:trPr>
          <w:trHeight w:val="700"/>
        </w:trPr>
        <w:tc>
          <w:tcPr>
            <w:tcW w:w="2263" w:type="dxa"/>
            <w:shd w:val="clear" w:color="auto" w:fill="auto"/>
            <w:vAlign w:val="center"/>
          </w:tcPr>
          <w:p w:rsidR="00F14AB6" w:rsidRPr="00F14AB6" w:rsidRDefault="00F14AB6" w:rsidP="00232CF2">
            <w:pPr>
              <w:pStyle w:val="NoSpacing"/>
              <w:jc w:val="center"/>
              <w:rPr>
                <w:rFonts w:ascii="Times New Roman" w:hAnsi="Times New Roman"/>
              </w:rPr>
            </w:pPr>
            <w:r w:rsidRPr="00F14AB6">
              <w:rPr>
                <w:rFonts w:ascii="Times New Roman" w:hAnsi="Times New Roman"/>
              </w:rPr>
              <w:t>Pretendents</w:t>
            </w:r>
          </w:p>
        </w:tc>
        <w:tc>
          <w:tcPr>
            <w:tcW w:w="2268" w:type="dxa"/>
            <w:vAlign w:val="center"/>
          </w:tcPr>
          <w:p w:rsidR="00F14AB6" w:rsidRPr="00F14AB6" w:rsidRDefault="00F14AB6" w:rsidP="00F14AB6">
            <w:pPr>
              <w:pStyle w:val="NoSpacing"/>
              <w:jc w:val="center"/>
              <w:rPr>
                <w:rFonts w:ascii="Times New Roman" w:hAnsi="Times New Roman"/>
              </w:rPr>
            </w:pPr>
            <w:r>
              <w:rPr>
                <w:rFonts w:ascii="Times New Roman" w:hAnsi="Times New Roman"/>
              </w:rPr>
              <w:t>1.daļa Līgumcena EUR bez PVN</w:t>
            </w:r>
          </w:p>
        </w:tc>
        <w:tc>
          <w:tcPr>
            <w:tcW w:w="2268" w:type="dxa"/>
            <w:vAlign w:val="center"/>
          </w:tcPr>
          <w:p w:rsidR="00F14AB6" w:rsidRPr="00F14AB6" w:rsidRDefault="00F14AB6" w:rsidP="00F14AB6">
            <w:pPr>
              <w:pStyle w:val="NoSpacing"/>
              <w:jc w:val="center"/>
              <w:rPr>
                <w:rFonts w:ascii="Times New Roman" w:hAnsi="Times New Roman"/>
              </w:rPr>
            </w:pPr>
            <w:r>
              <w:rPr>
                <w:rFonts w:ascii="Times New Roman" w:hAnsi="Times New Roman"/>
              </w:rPr>
              <w:t>2.daļa Līgumcena EUR bez PVN</w:t>
            </w:r>
          </w:p>
        </w:tc>
        <w:tc>
          <w:tcPr>
            <w:tcW w:w="2552" w:type="dxa"/>
            <w:shd w:val="clear" w:color="auto" w:fill="auto"/>
            <w:vAlign w:val="center"/>
          </w:tcPr>
          <w:p w:rsidR="00F14AB6" w:rsidRPr="00F14AB6" w:rsidRDefault="00F14AB6" w:rsidP="00232CF2">
            <w:pPr>
              <w:pStyle w:val="NoSpacing"/>
              <w:jc w:val="center"/>
              <w:rPr>
                <w:rFonts w:ascii="Times New Roman" w:hAnsi="Times New Roman"/>
              </w:rPr>
            </w:pPr>
            <w:r w:rsidRPr="00F14AB6">
              <w:rPr>
                <w:rFonts w:ascii="Times New Roman" w:hAnsi="Times New Roman"/>
              </w:rPr>
              <w:t>Kopā Līgumcena, EUR bez PVN (piedāvājuma izvēles kritērijs)</w:t>
            </w:r>
          </w:p>
        </w:tc>
      </w:tr>
      <w:tr w:rsidR="00F14AB6" w:rsidRPr="00F14AB6" w:rsidTr="00F14AB6">
        <w:trPr>
          <w:trHeight w:val="499"/>
        </w:trPr>
        <w:tc>
          <w:tcPr>
            <w:tcW w:w="2263" w:type="dxa"/>
            <w:shd w:val="clear" w:color="auto" w:fill="auto"/>
            <w:vAlign w:val="center"/>
          </w:tcPr>
          <w:p w:rsidR="00F14AB6" w:rsidRPr="00F14AB6" w:rsidRDefault="00F14AB6" w:rsidP="00071A38">
            <w:pPr>
              <w:pStyle w:val="NoSpacing"/>
              <w:jc w:val="center"/>
              <w:rPr>
                <w:rFonts w:ascii="Times New Roman" w:hAnsi="Times New Roman"/>
              </w:rPr>
            </w:pPr>
            <w:r w:rsidRPr="00F14AB6">
              <w:rPr>
                <w:rFonts w:ascii="Times New Roman" w:hAnsi="Times New Roman"/>
              </w:rPr>
              <w:t>SIA „BALTS UN MELNS”, reģistrācijas Nr.40003659614</w:t>
            </w:r>
          </w:p>
        </w:tc>
        <w:tc>
          <w:tcPr>
            <w:tcW w:w="2268" w:type="dxa"/>
            <w:vAlign w:val="center"/>
          </w:tcPr>
          <w:p w:rsidR="00F14AB6" w:rsidRPr="00F14AB6" w:rsidRDefault="00F602F9" w:rsidP="00F14AB6">
            <w:pPr>
              <w:pStyle w:val="NoSpacing"/>
              <w:jc w:val="center"/>
              <w:rPr>
                <w:rFonts w:ascii="Times New Roman" w:hAnsi="Times New Roman"/>
              </w:rPr>
            </w:pPr>
            <w:r>
              <w:rPr>
                <w:rFonts w:ascii="Times New Roman" w:hAnsi="Times New Roman"/>
              </w:rPr>
              <w:t>6 950,00</w:t>
            </w:r>
          </w:p>
        </w:tc>
        <w:tc>
          <w:tcPr>
            <w:tcW w:w="2268" w:type="dxa"/>
            <w:vAlign w:val="center"/>
          </w:tcPr>
          <w:p w:rsidR="00F14AB6" w:rsidRPr="00F14AB6" w:rsidRDefault="00F602F9" w:rsidP="00F14AB6">
            <w:pPr>
              <w:pStyle w:val="NoSpacing"/>
              <w:jc w:val="center"/>
              <w:rPr>
                <w:rFonts w:ascii="Times New Roman" w:hAnsi="Times New Roman"/>
              </w:rPr>
            </w:pPr>
            <w:r>
              <w:rPr>
                <w:rFonts w:ascii="Times New Roman" w:hAnsi="Times New Roman"/>
              </w:rPr>
              <w:t>3 950,00</w:t>
            </w:r>
          </w:p>
        </w:tc>
        <w:tc>
          <w:tcPr>
            <w:tcW w:w="2552" w:type="dxa"/>
            <w:shd w:val="clear" w:color="auto" w:fill="auto"/>
            <w:vAlign w:val="center"/>
          </w:tcPr>
          <w:p w:rsidR="00F14AB6" w:rsidRPr="00F14AB6" w:rsidRDefault="00F14AB6" w:rsidP="00071A38">
            <w:pPr>
              <w:pStyle w:val="NoSpacing"/>
              <w:jc w:val="center"/>
              <w:rPr>
                <w:rFonts w:ascii="Times New Roman" w:hAnsi="Times New Roman"/>
              </w:rPr>
            </w:pPr>
            <w:r w:rsidRPr="00F14AB6">
              <w:rPr>
                <w:rFonts w:ascii="Times New Roman" w:hAnsi="Times New Roman"/>
              </w:rPr>
              <w:t>10 900,00</w:t>
            </w:r>
          </w:p>
        </w:tc>
      </w:tr>
      <w:tr w:rsidR="00F14AB6" w:rsidRPr="00F14AB6" w:rsidTr="00F14AB6">
        <w:trPr>
          <w:trHeight w:val="499"/>
        </w:trPr>
        <w:tc>
          <w:tcPr>
            <w:tcW w:w="2263" w:type="dxa"/>
            <w:shd w:val="clear" w:color="auto" w:fill="auto"/>
            <w:vAlign w:val="center"/>
          </w:tcPr>
          <w:p w:rsidR="00F14AB6" w:rsidRPr="00F14AB6" w:rsidRDefault="00F14AB6" w:rsidP="00071A38">
            <w:pPr>
              <w:pStyle w:val="NoSpacing"/>
              <w:jc w:val="center"/>
              <w:rPr>
                <w:rFonts w:ascii="Times New Roman" w:hAnsi="Times New Roman"/>
              </w:rPr>
            </w:pPr>
            <w:r w:rsidRPr="00F14AB6">
              <w:rPr>
                <w:rFonts w:ascii="Times New Roman" w:hAnsi="Times New Roman"/>
              </w:rPr>
              <w:t>SIA „Forma 2”, reģistrācijas Nr.50003883681</w:t>
            </w:r>
          </w:p>
        </w:tc>
        <w:tc>
          <w:tcPr>
            <w:tcW w:w="2268" w:type="dxa"/>
            <w:vAlign w:val="center"/>
          </w:tcPr>
          <w:p w:rsidR="00F14AB6" w:rsidRPr="00F14AB6" w:rsidRDefault="00F602F9" w:rsidP="00F14AB6">
            <w:pPr>
              <w:pStyle w:val="NoSpacing"/>
              <w:jc w:val="center"/>
              <w:rPr>
                <w:rFonts w:ascii="Times New Roman" w:hAnsi="Times New Roman"/>
              </w:rPr>
            </w:pPr>
            <w:r>
              <w:rPr>
                <w:rFonts w:ascii="Times New Roman" w:hAnsi="Times New Roman"/>
              </w:rPr>
              <w:t>3 700,00</w:t>
            </w:r>
          </w:p>
        </w:tc>
        <w:tc>
          <w:tcPr>
            <w:tcW w:w="2268" w:type="dxa"/>
            <w:vAlign w:val="center"/>
          </w:tcPr>
          <w:p w:rsidR="00F14AB6" w:rsidRPr="00F14AB6" w:rsidRDefault="00F602F9" w:rsidP="00F14AB6">
            <w:pPr>
              <w:pStyle w:val="NoSpacing"/>
              <w:jc w:val="center"/>
              <w:rPr>
                <w:rFonts w:ascii="Times New Roman" w:hAnsi="Times New Roman"/>
              </w:rPr>
            </w:pPr>
            <w:r>
              <w:rPr>
                <w:rFonts w:ascii="Times New Roman" w:hAnsi="Times New Roman"/>
              </w:rPr>
              <w:t>2 270,00</w:t>
            </w:r>
          </w:p>
        </w:tc>
        <w:tc>
          <w:tcPr>
            <w:tcW w:w="2552" w:type="dxa"/>
            <w:shd w:val="clear" w:color="auto" w:fill="auto"/>
            <w:vAlign w:val="center"/>
          </w:tcPr>
          <w:p w:rsidR="00F14AB6" w:rsidRPr="00F14AB6" w:rsidRDefault="00F14AB6" w:rsidP="00071A38">
            <w:pPr>
              <w:pStyle w:val="NoSpacing"/>
              <w:jc w:val="center"/>
              <w:rPr>
                <w:rFonts w:ascii="Times New Roman" w:hAnsi="Times New Roman"/>
              </w:rPr>
            </w:pPr>
            <w:r w:rsidRPr="00F14AB6">
              <w:rPr>
                <w:rFonts w:ascii="Times New Roman" w:hAnsi="Times New Roman"/>
              </w:rPr>
              <w:t>5 970,00</w:t>
            </w:r>
          </w:p>
        </w:tc>
      </w:tr>
    </w:tbl>
    <w:p w:rsidR="006C2E86" w:rsidRPr="004F7345" w:rsidRDefault="00394C0A" w:rsidP="00FC3DE5">
      <w:pPr>
        <w:spacing w:before="120" w:after="0" w:line="240" w:lineRule="auto"/>
        <w:ind w:firstLine="709"/>
        <w:jc w:val="both"/>
        <w:rPr>
          <w:rFonts w:ascii="Times New Roman" w:hAnsi="Times New Roman"/>
          <w:noProof w:val="0"/>
          <w:sz w:val="24"/>
          <w:szCs w:val="24"/>
        </w:rPr>
      </w:pPr>
      <w:r>
        <w:rPr>
          <w:rFonts w:ascii="Times New Roman" w:hAnsi="Times New Roman"/>
          <w:noProof w:val="0"/>
          <w:sz w:val="24"/>
          <w:szCs w:val="24"/>
        </w:rPr>
        <w:t>N. Gruzdova</w:t>
      </w:r>
      <w:r w:rsidR="006C2E86" w:rsidRPr="004F7345">
        <w:rPr>
          <w:rFonts w:ascii="Times New Roman" w:hAnsi="Times New Roman"/>
          <w:noProof w:val="0"/>
          <w:sz w:val="24"/>
          <w:szCs w:val="24"/>
        </w:rPr>
        <w:t xml:space="preserve"> informē, </w:t>
      </w:r>
      <w:r w:rsidR="00BA670B">
        <w:rPr>
          <w:rFonts w:ascii="Times New Roman" w:hAnsi="Times New Roman"/>
          <w:noProof w:val="0"/>
          <w:sz w:val="24"/>
          <w:szCs w:val="24"/>
        </w:rPr>
        <w:t xml:space="preserve">ka, </w:t>
      </w:r>
      <w:r w:rsidR="006C2E86" w:rsidRPr="004F7345">
        <w:rPr>
          <w:rFonts w:ascii="Times New Roman" w:hAnsi="Times New Roman"/>
          <w:noProof w:val="0"/>
          <w:sz w:val="24"/>
          <w:szCs w:val="24"/>
        </w:rPr>
        <w:t xml:space="preserve">ņemot vērā, ka piedāvājuma izvēles kritērijs ir – </w:t>
      </w:r>
      <w:r>
        <w:rPr>
          <w:rFonts w:ascii="Times New Roman" w:hAnsi="Times New Roman"/>
          <w:sz w:val="24"/>
          <w:szCs w:val="24"/>
        </w:rPr>
        <w:t>viszemākā</w:t>
      </w:r>
      <w:r w:rsidRPr="00742F2D">
        <w:rPr>
          <w:rFonts w:ascii="Times New Roman" w:hAnsi="Times New Roman"/>
          <w:sz w:val="24"/>
          <w:szCs w:val="24"/>
        </w:rPr>
        <w:t xml:space="preserve"> </w:t>
      </w:r>
      <w:r w:rsidR="00F602F9">
        <w:rPr>
          <w:rFonts w:ascii="Times New Roman" w:hAnsi="Times New Roman"/>
          <w:sz w:val="24"/>
          <w:szCs w:val="24"/>
        </w:rPr>
        <w:t>līgumcena</w:t>
      </w:r>
      <w:r w:rsidR="00F602F9" w:rsidRPr="00071A38">
        <w:rPr>
          <w:rFonts w:ascii="Times New Roman" w:hAnsi="Times New Roman"/>
          <w:sz w:val="24"/>
          <w:szCs w:val="24"/>
        </w:rPr>
        <w:t xml:space="preserve"> par </w:t>
      </w:r>
      <w:r w:rsidR="00F602F9" w:rsidRPr="00071A38">
        <w:rPr>
          <w:rFonts w:ascii="Times New Roman" w:hAnsi="Times New Roman"/>
          <w:color w:val="000000"/>
          <w:sz w:val="24"/>
          <w:szCs w:val="24"/>
        </w:rPr>
        <w:t>katru daļu atsevišķi</w:t>
      </w:r>
      <w:r w:rsidR="00F602F9" w:rsidRPr="00071A38">
        <w:rPr>
          <w:rFonts w:ascii="Times New Roman" w:hAnsi="Times New Roman"/>
          <w:sz w:val="24"/>
          <w:szCs w:val="24"/>
        </w:rPr>
        <w:t>, kas atbilst Nolikumā minētajām prasībām un tehniskajai specifikācijai, iekļaujot visus nodokļus (izņemot PVN) un izdevumus (t.sk. transporta pakalpojumi, piegādes u.c. izmaksas, t.sk. saistītas ar tehniskajā specifikācijā nenorādītu un neparedzētu darbu izpildi, kas tehnoloģiski saistīti ar iepirkuma priekšmeta īstenošanu noteiktajā termiņā un vietā)</w:t>
      </w:r>
      <w:r w:rsidR="006C2E86" w:rsidRPr="004F7345">
        <w:rPr>
          <w:rFonts w:ascii="Times New Roman" w:hAnsi="Times New Roman"/>
          <w:sz w:val="24"/>
          <w:szCs w:val="24"/>
        </w:rPr>
        <w:t>,</w:t>
      </w:r>
      <w:r w:rsidR="006C2E86" w:rsidRPr="004F7345">
        <w:rPr>
          <w:rFonts w:ascii="Times New Roman" w:hAnsi="Times New Roman"/>
          <w:noProof w:val="0"/>
          <w:sz w:val="24"/>
          <w:szCs w:val="24"/>
        </w:rPr>
        <w:t xml:space="preserve"> līguma slēgšanas tiesības būtu piešķiramas:</w:t>
      </w:r>
    </w:p>
    <w:p w:rsidR="00576F77" w:rsidRPr="00A92D6A" w:rsidRDefault="00F602F9" w:rsidP="00576F77">
      <w:pPr>
        <w:spacing w:after="0" w:line="240" w:lineRule="auto"/>
        <w:ind w:right="49" w:firstLine="720"/>
        <w:jc w:val="both"/>
        <w:rPr>
          <w:rFonts w:ascii="Times New Roman" w:eastAsia="Times New Roman" w:hAnsi="Times New Roman"/>
          <w:noProof w:val="0"/>
          <w:sz w:val="24"/>
          <w:szCs w:val="24"/>
        </w:rPr>
      </w:pPr>
      <w:r>
        <w:rPr>
          <w:rFonts w:ascii="Times New Roman" w:hAnsi="Times New Roman"/>
          <w:sz w:val="24"/>
          <w:szCs w:val="24"/>
        </w:rPr>
        <w:t xml:space="preserve">1. un 2.daļā – </w:t>
      </w:r>
      <w:r w:rsidR="00576F77" w:rsidRPr="00A92D6A">
        <w:rPr>
          <w:rFonts w:ascii="Times New Roman" w:hAnsi="Times New Roman"/>
          <w:sz w:val="24"/>
          <w:szCs w:val="24"/>
        </w:rPr>
        <w:t xml:space="preserve">SIA </w:t>
      </w:r>
      <w:r w:rsidR="00576F77">
        <w:rPr>
          <w:rFonts w:ascii="Times New Roman" w:eastAsia="Times New Roman" w:hAnsi="Times New Roman"/>
          <w:noProof w:val="0"/>
          <w:sz w:val="24"/>
          <w:szCs w:val="24"/>
        </w:rPr>
        <w:t>„</w:t>
      </w:r>
      <w:r>
        <w:rPr>
          <w:rFonts w:ascii="Times New Roman" w:eastAsia="Times New Roman" w:hAnsi="Times New Roman"/>
          <w:noProof w:val="0"/>
          <w:sz w:val="24"/>
          <w:szCs w:val="24"/>
        </w:rPr>
        <w:t>Forma 2</w:t>
      </w:r>
      <w:r w:rsidR="00576F77" w:rsidRPr="00A92D6A">
        <w:rPr>
          <w:rFonts w:ascii="Times New Roman" w:eastAsia="Times New Roman" w:hAnsi="Times New Roman"/>
          <w:noProof w:val="0"/>
          <w:sz w:val="24"/>
          <w:szCs w:val="24"/>
        </w:rPr>
        <w:t>”, reģistrācijas Nr.</w:t>
      </w:r>
      <w:r w:rsidRPr="00F602F9">
        <w:rPr>
          <w:rFonts w:ascii="Times New Roman" w:hAnsi="Times New Roman"/>
          <w:sz w:val="24"/>
          <w:szCs w:val="24"/>
        </w:rPr>
        <w:t>50003883681</w:t>
      </w:r>
      <w:r w:rsidR="00576F77" w:rsidRPr="00A92D6A">
        <w:rPr>
          <w:rFonts w:ascii="Times New Roman" w:eastAsia="Times New Roman" w:hAnsi="Times New Roman"/>
          <w:bCs/>
          <w:noProof w:val="0"/>
          <w:sz w:val="24"/>
          <w:szCs w:val="24"/>
          <w:lang w:eastAsia="lv-LV"/>
        </w:rPr>
        <w:t xml:space="preserve">, juridiskā adrese: </w:t>
      </w:r>
      <w:r w:rsidRPr="00F602F9">
        <w:rPr>
          <w:rFonts w:ascii="Times New Roman" w:hAnsi="Times New Roman"/>
          <w:sz w:val="24"/>
          <w:szCs w:val="24"/>
        </w:rPr>
        <w:t>Graudu iela 61B, Rīga, LV-1058</w:t>
      </w:r>
      <w:r w:rsidR="00576F77" w:rsidRPr="00A92D6A">
        <w:rPr>
          <w:rFonts w:ascii="Times New Roman" w:hAnsi="Times New Roman"/>
          <w:bCs/>
          <w:sz w:val="24"/>
          <w:szCs w:val="24"/>
        </w:rPr>
        <w:t>.</w:t>
      </w:r>
    </w:p>
    <w:p w:rsidR="001F0D8D" w:rsidRPr="004F7345" w:rsidRDefault="001F0D8D" w:rsidP="001F0D8D">
      <w:pPr>
        <w:spacing w:after="0" w:line="240" w:lineRule="auto"/>
        <w:ind w:right="-2" w:firstLine="720"/>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 xml:space="preserve">Atbilstoši </w:t>
      </w:r>
      <w:r w:rsidR="00F71FE6">
        <w:rPr>
          <w:rFonts w:ascii="Times New Roman" w:eastAsia="Times New Roman" w:hAnsi="Times New Roman"/>
          <w:noProof w:val="0"/>
          <w:sz w:val="24"/>
          <w:szCs w:val="24"/>
        </w:rPr>
        <w:t>Publisko iepirkumu likuma (turpmāk – Likums)</w:t>
      </w:r>
      <w:r w:rsidRPr="004F7345">
        <w:rPr>
          <w:rFonts w:ascii="Times New Roman" w:eastAsia="Times New Roman" w:hAnsi="Times New Roman"/>
          <w:noProof w:val="0"/>
          <w:sz w:val="24"/>
          <w:szCs w:val="24"/>
        </w:rPr>
        <w:t xml:space="preserve"> 8.</w:t>
      </w:r>
      <w:r w:rsidRPr="004F7345">
        <w:rPr>
          <w:rFonts w:ascii="Times New Roman" w:eastAsia="Times New Roman" w:hAnsi="Times New Roman"/>
          <w:noProof w:val="0"/>
          <w:sz w:val="24"/>
          <w:szCs w:val="24"/>
          <w:vertAlign w:val="superscript"/>
        </w:rPr>
        <w:t>2</w:t>
      </w:r>
      <w:r>
        <w:rPr>
          <w:rFonts w:ascii="Times New Roman" w:eastAsia="Times New Roman" w:hAnsi="Times New Roman"/>
          <w:noProof w:val="0"/>
          <w:sz w:val="24"/>
          <w:szCs w:val="24"/>
        </w:rPr>
        <w:t> </w:t>
      </w:r>
      <w:r w:rsidRPr="004F7345">
        <w:rPr>
          <w:rFonts w:ascii="Times New Roman" w:eastAsia="Times New Roman" w:hAnsi="Times New Roman"/>
          <w:noProof w:val="0"/>
          <w:sz w:val="24"/>
          <w:szCs w:val="24"/>
        </w:rPr>
        <w:t xml:space="preserve">panta devītās daļas nosacījumiem </w:t>
      </w:r>
      <w:r w:rsidR="00FC16AF">
        <w:rPr>
          <w:rFonts w:ascii="Times New Roman" w:eastAsia="Times New Roman" w:hAnsi="Times New Roman"/>
          <w:noProof w:val="0"/>
          <w:sz w:val="24"/>
          <w:szCs w:val="24"/>
        </w:rPr>
        <w:t>(redakcija, kas bija spēkā līdz 2017. gada 28. februārim)</w:t>
      </w:r>
      <w:r w:rsidR="00FC16AF">
        <w:rPr>
          <w:rFonts w:ascii="Times New Roman" w:eastAsia="Times New Roman" w:hAnsi="Times New Roman"/>
          <w:noProof w:val="0"/>
          <w:sz w:val="24"/>
          <w:szCs w:val="24"/>
        </w:rPr>
        <w:t xml:space="preserve"> </w:t>
      </w:r>
      <w:r w:rsidRPr="004F7345">
        <w:rPr>
          <w:rFonts w:ascii="Times New Roman" w:eastAsia="Times New Roman" w:hAnsi="Times New Roman"/>
          <w:noProof w:val="0"/>
          <w:sz w:val="24"/>
          <w:szCs w:val="24"/>
        </w:rPr>
        <w:t>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dalības iepirkumā saskaņā ar Likuma 8.</w:t>
      </w:r>
      <w:r w:rsidRPr="004F7345">
        <w:rPr>
          <w:rFonts w:ascii="Times New Roman" w:eastAsia="Times New Roman" w:hAnsi="Times New Roman"/>
          <w:noProof w:val="0"/>
          <w:sz w:val="24"/>
          <w:szCs w:val="24"/>
          <w:vertAlign w:val="superscript"/>
        </w:rPr>
        <w:t>2</w:t>
      </w:r>
      <w:r>
        <w:rPr>
          <w:rFonts w:ascii="Times New Roman" w:eastAsia="Times New Roman" w:hAnsi="Times New Roman"/>
          <w:noProof w:val="0"/>
          <w:sz w:val="24"/>
          <w:szCs w:val="24"/>
        </w:rPr>
        <w:t> </w:t>
      </w:r>
      <w:r w:rsidRPr="004F7345">
        <w:rPr>
          <w:rFonts w:ascii="Times New Roman" w:eastAsia="Times New Roman" w:hAnsi="Times New Roman"/>
          <w:noProof w:val="0"/>
          <w:sz w:val="24"/>
          <w:szCs w:val="24"/>
        </w:rPr>
        <w:t>panta piekto daļu</w:t>
      </w:r>
      <w:r w:rsidR="00FC16AF">
        <w:rPr>
          <w:rFonts w:ascii="Times New Roman" w:eastAsia="Times New Roman" w:hAnsi="Times New Roman"/>
          <w:noProof w:val="0"/>
          <w:sz w:val="24"/>
          <w:szCs w:val="24"/>
        </w:rPr>
        <w:t xml:space="preserve"> </w:t>
      </w:r>
      <w:r w:rsidR="00FC16AF">
        <w:rPr>
          <w:rFonts w:ascii="Times New Roman" w:eastAsia="Times New Roman" w:hAnsi="Times New Roman"/>
          <w:noProof w:val="0"/>
          <w:sz w:val="24"/>
          <w:szCs w:val="24"/>
        </w:rPr>
        <w:t>(redakcija, kas bija spēkā līdz 2017. gada 28. februārim)</w:t>
      </w:r>
      <w:r w:rsidRPr="004F7345">
        <w:rPr>
          <w:rFonts w:ascii="Times New Roman" w:eastAsia="Times New Roman" w:hAnsi="Times New Roman"/>
          <w:noProof w:val="0"/>
          <w:sz w:val="24"/>
          <w:szCs w:val="24"/>
        </w:rPr>
        <w:t>.</w:t>
      </w:r>
    </w:p>
    <w:p w:rsidR="001F0D8D" w:rsidRPr="004F7345" w:rsidRDefault="001F0D8D" w:rsidP="001F0D8D">
      <w:pPr>
        <w:spacing w:after="0" w:line="240" w:lineRule="auto"/>
        <w:ind w:right="-2" w:firstLine="709"/>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Atbilstoši Likuma 8.</w:t>
      </w:r>
      <w:r w:rsidRPr="004F7345">
        <w:rPr>
          <w:rFonts w:ascii="Times New Roman" w:eastAsia="Times New Roman" w:hAnsi="Times New Roman"/>
          <w:noProof w:val="0"/>
          <w:sz w:val="24"/>
          <w:szCs w:val="24"/>
          <w:vertAlign w:val="superscript"/>
        </w:rPr>
        <w:t>2</w:t>
      </w:r>
      <w:r w:rsidRPr="004F7345">
        <w:rPr>
          <w:rFonts w:ascii="Times New Roman" w:eastAsia="Times New Roman" w:hAnsi="Times New Roman"/>
          <w:noProof w:val="0"/>
          <w:sz w:val="24"/>
          <w:szCs w:val="24"/>
        </w:rPr>
        <w:t xml:space="preserve"> panta septītās daļas nosacījumiem </w:t>
      </w:r>
      <w:r w:rsidR="00FC16AF">
        <w:rPr>
          <w:rFonts w:ascii="Times New Roman" w:eastAsia="Times New Roman" w:hAnsi="Times New Roman"/>
          <w:noProof w:val="0"/>
          <w:sz w:val="24"/>
          <w:szCs w:val="24"/>
        </w:rPr>
        <w:t>(redakcija, kas bija spēkā līdz 2017. gada 28. februārim)</w:t>
      </w:r>
      <w:r w:rsidR="00FC16AF">
        <w:rPr>
          <w:rFonts w:ascii="Times New Roman" w:eastAsia="Times New Roman" w:hAnsi="Times New Roman"/>
          <w:noProof w:val="0"/>
          <w:sz w:val="24"/>
          <w:szCs w:val="24"/>
        </w:rPr>
        <w:t xml:space="preserve"> </w:t>
      </w:r>
      <w:r w:rsidRPr="004F7345">
        <w:rPr>
          <w:rFonts w:ascii="Times New Roman" w:eastAsia="Times New Roman" w:hAnsi="Times New Roman"/>
          <w:noProof w:val="0"/>
          <w:sz w:val="24"/>
          <w:szCs w:val="24"/>
        </w:rPr>
        <w:t>pasūtītājs, izmantojot Ministru kabineta noteikto informācijas sistēmu – pārbauda un saņem informāciju par pretend</w:t>
      </w:r>
      <w:r w:rsidR="00D6299F">
        <w:rPr>
          <w:rFonts w:ascii="Times New Roman" w:eastAsia="Times New Roman" w:hAnsi="Times New Roman"/>
          <w:noProof w:val="0"/>
          <w:sz w:val="24"/>
          <w:szCs w:val="24"/>
        </w:rPr>
        <w:t>entu</w:t>
      </w:r>
      <w:r w:rsidRPr="004F7345">
        <w:rPr>
          <w:rFonts w:ascii="Times New Roman" w:eastAsia="Times New Roman" w:hAnsi="Times New Roman"/>
          <w:noProof w:val="0"/>
          <w:sz w:val="24"/>
          <w:szCs w:val="24"/>
        </w:rPr>
        <w:t>.</w:t>
      </w:r>
    </w:p>
    <w:p w:rsidR="001F0D8D" w:rsidRPr="004F7345" w:rsidRDefault="001F0D8D" w:rsidP="001F0D8D">
      <w:pPr>
        <w:spacing w:after="0" w:line="240" w:lineRule="auto"/>
        <w:ind w:firstLine="709"/>
        <w:jc w:val="both"/>
        <w:rPr>
          <w:rFonts w:ascii="Times New Roman" w:hAnsi="Times New Roman"/>
          <w:sz w:val="24"/>
          <w:szCs w:val="24"/>
        </w:rPr>
      </w:pPr>
      <w:r w:rsidRPr="0012705F">
        <w:rPr>
          <w:rFonts w:ascii="Times New Roman" w:hAnsi="Times New Roman"/>
          <w:sz w:val="24"/>
          <w:szCs w:val="24"/>
        </w:rPr>
        <w:t>Saskaņā ar E-izziņu sistēmas datubāzes saņemto informāciju</w:t>
      </w:r>
      <w:r w:rsidR="00D6299F">
        <w:rPr>
          <w:rFonts w:ascii="Times New Roman" w:hAnsi="Times New Roman"/>
          <w:sz w:val="24"/>
          <w:szCs w:val="24"/>
        </w:rPr>
        <w:t xml:space="preserve"> pretendenta</w:t>
      </w:r>
      <w:r w:rsidR="00576F77">
        <w:rPr>
          <w:rFonts w:ascii="Times New Roman" w:hAnsi="Times New Roman"/>
          <w:sz w:val="24"/>
          <w:szCs w:val="24"/>
        </w:rPr>
        <w:t>m</w:t>
      </w:r>
      <w:r w:rsidRPr="004F7345">
        <w:rPr>
          <w:rFonts w:ascii="Times New Roman" w:hAnsi="Times New Roman"/>
          <w:sz w:val="24"/>
          <w:szCs w:val="24"/>
        </w:rPr>
        <w:t xml:space="preserve"> </w:t>
      </w:r>
      <w:r w:rsidR="001266F9" w:rsidRPr="00A92D6A">
        <w:rPr>
          <w:rFonts w:ascii="Times New Roman" w:hAnsi="Times New Roman"/>
          <w:sz w:val="24"/>
          <w:szCs w:val="24"/>
        </w:rPr>
        <w:t xml:space="preserve">SIA </w:t>
      </w:r>
      <w:r w:rsidR="00F602F9">
        <w:rPr>
          <w:rFonts w:ascii="Times New Roman" w:eastAsia="Times New Roman" w:hAnsi="Times New Roman"/>
          <w:noProof w:val="0"/>
          <w:sz w:val="24"/>
          <w:szCs w:val="24"/>
        </w:rPr>
        <w:t>„Forma 2</w:t>
      </w:r>
      <w:r w:rsidR="00F602F9" w:rsidRPr="00A92D6A">
        <w:rPr>
          <w:rFonts w:ascii="Times New Roman" w:eastAsia="Times New Roman" w:hAnsi="Times New Roman"/>
          <w:noProof w:val="0"/>
          <w:sz w:val="24"/>
          <w:szCs w:val="24"/>
        </w:rPr>
        <w:t>”, reģistrācijas Nr.</w:t>
      </w:r>
      <w:r w:rsidR="00F602F9" w:rsidRPr="00F602F9">
        <w:rPr>
          <w:rFonts w:ascii="Times New Roman" w:hAnsi="Times New Roman"/>
          <w:sz w:val="24"/>
          <w:szCs w:val="24"/>
        </w:rPr>
        <w:t>50003883681</w:t>
      </w:r>
      <w:r w:rsidRPr="004F7345">
        <w:rPr>
          <w:rFonts w:ascii="Times New Roman" w:hAnsi="Times New Roman"/>
          <w:sz w:val="24"/>
          <w:szCs w:val="24"/>
        </w:rPr>
        <w:t>:</w:t>
      </w:r>
    </w:p>
    <w:p w:rsidR="001F0D8D" w:rsidRPr="004F7345" w:rsidRDefault="001F0D8D" w:rsidP="001F0D8D">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nodokļu (nodevu) parādi,</w:t>
      </w:r>
      <w:r w:rsidRPr="004F7345">
        <w:rPr>
          <w:rFonts w:ascii="Times New Roman" w:hAnsi="Times New Roman"/>
          <w:noProof w:val="0"/>
          <w:sz w:val="24"/>
          <w:szCs w:val="24"/>
        </w:rPr>
        <w:t xml:space="preserve"> tajā skaitā valsts sociālās apdrošināšanas obligāto iemaksu parādi,</w:t>
      </w:r>
      <w:r w:rsidRPr="004F7345">
        <w:rPr>
          <w:rFonts w:ascii="Times New Roman" w:hAnsi="Times New Roman"/>
          <w:sz w:val="24"/>
          <w:szCs w:val="24"/>
        </w:rPr>
        <w:t xml:space="preserve"> kas kopsummā pārsniedz </w:t>
      </w:r>
      <w:r w:rsidRPr="004F7345">
        <w:rPr>
          <w:rFonts w:ascii="Times New Roman" w:hAnsi="Times New Roman"/>
          <w:noProof w:val="0"/>
          <w:sz w:val="24"/>
          <w:szCs w:val="24"/>
        </w:rPr>
        <w:t xml:space="preserve">150,00 EUR (viens simts piecdesmit </w:t>
      </w:r>
      <w:r w:rsidRPr="004F7345">
        <w:rPr>
          <w:rFonts w:ascii="Times New Roman" w:hAnsi="Times New Roman"/>
          <w:i/>
          <w:noProof w:val="0"/>
          <w:sz w:val="24"/>
          <w:szCs w:val="24"/>
        </w:rPr>
        <w:t xml:space="preserve">euro </w:t>
      </w:r>
      <w:r w:rsidRPr="004F7345">
        <w:rPr>
          <w:rFonts w:ascii="Times New Roman" w:hAnsi="Times New Roman"/>
          <w:noProof w:val="0"/>
          <w:sz w:val="24"/>
          <w:szCs w:val="24"/>
        </w:rPr>
        <w:t xml:space="preserve">un nulle </w:t>
      </w:r>
      <w:r w:rsidRPr="004F7345">
        <w:rPr>
          <w:rFonts w:ascii="Times New Roman" w:hAnsi="Times New Roman"/>
          <w:i/>
          <w:noProof w:val="0"/>
          <w:sz w:val="24"/>
          <w:szCs w:val="24"/>
        </w:rPr>
        <w:t>euro</w:t>
      </w:r>
      <w:r w:rsidRPr="004F7345">
        <w:rPr>
          <w:rFonts w:ascii="Times New Roman" w:hAnsi="Times New Roman"/>
          <w:noProof w:val="0"/>
          <w:sz w:val="24"/>
          <w:szCs w:val="24"/>
        </w:rPr>
        <w:t xml:space="preserve"> centi)</w:t>
      </w:r>
      <w:r w:rsidRPr="004F7345">
        <w:rPr>
          <w:rFonts w:ascii="Times New Roman" w:hAnsi="Times New Roman"/>
          <w:sz w:val="24"/>
          <w:szCs w:val="24"/>
        </w:rPr>
        <w:t>;</w:t>
      </w:r>
    </w:p>
    <w:p w:rsidR="001F0D8D" w:rsidRDefault="001F0D8D" w:rsidP="001F0D8D">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pasludināts maksātnespējas process (izņemot gadījumu, kad maksātnespējas procesā tiek piemērota sanācija vai cits līdzīga veida pasākumu kopums, kas vērsts uz parādnieka iespējamā bankrota novēršanu un maksātspējas atjaunošanu), nav apturēta vai pārtraukta tā saimnieciskā darbība, nav uzsākta tiesvedība par tā bankrotu, nav likvidācijas.</w:t>
      </w:r>
    </w:p>
    <w:p w:rsidR="007A22A5" w:rsidRDefault="007A22A5" w:rsidP="007A22A5">
      <w:pPr>
        <w:spacing w:before="120" w:after="120" w:line="240" w:lineRule="auto"/>
        <w:ind w:firstLine="567"/>
        <w:jc w:val="both"/>
        <w:rPr>
          <w:rFonts w:ascii="Times New Roman" w:hAnsi="Times New Roman"/>
          <w:b/>
          <w:noProof w:val="0"/>
          <w:sz w:val="24"/>
          <w:szCs w:val="24"/>
          <w:u w:val="single"/>
        </w:rPr>
      </w:pPr>
      <w:r>
        <w:rPr>
          <w:rFonts w:ascii="Times New Roman" w:hAnsi="Times New Roman"/>
          <w:b/>
          <w:noProof w:val="0"/>
          <w:sz w:val="24"/>
          <w:szCs w:val="24"/>
          <w:u w:val="single"/>
        </w:rPr>
        <w:t>Iepirkumu</w:t>
      </w:r>
      <w:r w:rsidRPr="00DB02E3">
        <w:rPr>
          <w:rFonts w:ascii="Times New Roman" w:hAnsi="Times New Roman"/>
          <w:b/>
          <w:noProof w:val="0"/>
          <w:sz w:val="24"/>
          <w:szCs w:val="24"/>
          <w:u w:val="single"/>
        </w:rPr>
        <w:t xml:space="preserve"> komisijas lēmums:</w:t>
      </w:r>
    </w:p>
    <w:p w:rsidR="001F0D8D" w:rsidRDefault="005C7319" w:rsidP="004B53C7">
      <w:pPr>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001F0D8D" w:rsidRPr="00033AFB">
        <w:rPr>
          <w:rFonts w:ascii="Times New Roman" w:hAnsi="Times New Roman"/>
          <w:sz w:val="24"/>
          <w:szCs w:val="24"/>
        </w:rPr>
        <w:t xml:space="preserve">Par Pārvaldes rīkotā </w:t>
      </w:r>
      <w:r w:rsidR="00CC3E84">
        <w:rPr>
          <w:rFonts w:ascii="Times New Roman" w:hAnsi="Times New Roman"/>
          <w:sz w:val="24"/>
          <w:szCs w:val="24"/>
        </w:rPr>
        <w:t>I</w:t>
      </w:r>
      <w:r w:rsidR="002E6825">
        <w:rPr>
          <w:rFonts w:ascii="Times New Roman" w:hAnsi="Times New Roman"/>
          <w:sz w:val="24"/>
          <w:szCs w:val="24"/>
        </w:rPr>
        <w:t>epirkuma</w:t>
      </w:r>
      <w:r w:rsidR="001F0D8D" w:rsidRPr="00033AFB">
        <w:rPr>
          <w:rFonts w:ascii="Times New Roman" w:hAnsi="Times New Roman"/>
          <w:sz w:val="24"/>
          <w:szCs w:val="24"/>
        </w:rPr>
        <w:t xml:space="preserve"> uzvarētāju atzīt un līguma slēgšanas tiesības piešķirt</w:t>
      </w:r>
      <w:r w:rsidR="00D6299F" w:rsidRPr="00D6299F">
        <w:rPr>
          <w:rFonts w:ascii="Times New Roman" w:hAnsi="Times New Roman"/>
          <w:sz w:val="24"/>
          <w:szCs w:val="24"/>
        </w:rPr>
        <w:t xml:space="preserve"> </w:t>
      </w:r>
      <w:r w:rsidR="00F602F9">
        <w:rPr>
          <w:rFonts w:ascii="Times New Roman" w:hAnsi="Times New Roman"/>
          <w:sz w:val="24"/>
          <w:szCs w:val="24"/>
        </w:rPr>
        <w:t xml:space="preserve">1. un 2.daļā – </w:t>
      </w:r>
      <w:r w:rsidR="00F602F9" w:rsidRPr="00A92D6A">
        <w:rPr>
          <w:rFonts w:ascii="Times New Roman" w:hAnsi="Times New Roman"/>
          <w:sz w:val="24"/>
          <w:szCs w:val="24"/>
        </w:rPr>
        <w:t xml:space="preserve">SIA </w:t>
      </w:r>
      <w:r w:rsidR="00F602F9">
        <w:rPr>
          <w:rFonts w:ascii="Times New Roman" w:eastAsia="Times New Roman" w:hAnsi="Times New Roman"/>
          <w:noProof w:val="0"/>
          <w:sz w:val="24"/>
          <w:szCs w:val="24"/>
        </w:rPr>
        <w:t>„Forma 2</w:t>
      </w:r>
      <w:r w:rsidR="00F602F9" w:rsidRPr="00A92D6A">
        <w:rPr>
          <w:rFonts w:ascii="Times New Roman" w:eastAsia="Times New Roman" w:hAnsi="Times New Roman"/>
          <w:noProof w:val="0"/>
          <w:sz w:val="24"/>
          <w:szCs w:val="24"/>
        </w:rPr>
        <w:t>”, reģistrācijas Nr.</w:t>
      </w:r>
      <w:r w:rsidR="00F602F9" w:rsidRPr="00F602F9">
        <w:rPr>
          <w:rFonts w:ascii="Times New Roman" w:hAnsi="Times New Roman"/>
          <w:sz w:val="24"/>
          <w:szCs w:val="24"/>
        </w:rPr>
        <w:t>50003883681</w:t>
      </w:r>
      <w:r w:rsidR="00F602F9" w:rsidRPr="00A92D6A">
        <w:rPr>
          <w:rFonts w:ascii="Times New Roman" w:eastAsia="Times New Roman" w:hAnsi="Times New Roman"/>
          <w:bCs/>
          <w:noProof w:val="0"/>
          <w:sz w:val="24"/>
          <w:szCs w:val="24"/>
          <w:lang w:eastAsia="lv-LV"/>
        </w:rPr>
        <w:t xml:space="preserve">, juridiskā adrese: </w:t>
      </w:r>
      <w:r w:rsidR="00F602F9" w:rsidRPr="00F602F9">
        <w:rPr>
          <w:rFonts w:ascii="Times New Roman" w:hAnsi="Times New Roman"/>
          <w:sz w:val="24"/>
          <w:szCs w:val="24"/>
        </w:rPr>
        <w:t>Graudu iela 61B, Rīga, LV-1058</w:t>
      </w:r>
      <w:r w:rsidR="00D6299F">
        <w:rPr>
          <w:rFonts w:ascii="Times New Roman" w:hAnsi="Times New Roman"/>
          <w:sz w:val="24"/>
          <w:szCs w:val="24"/>
        </w:rPr>
        <w:t>.</w:t>
      </w:r>
    </w:p>
    <w:p w:rsidR="001F0D8D" w:rsidRPr="00033AFB" w:rsidRDefault="003451DB" w:rsidP="004B53C7">
      <w:pPr>
        <w:spacing w:after="0" w:line="240" w:lineRule="auto"/>
        <w:ind w:right="49" w:firstLine="720"/>
        <w:jc w:val="both"/>
        <w:rPr>
          <w:rFonts w:ascii="Times New Roman" w:hAnsi="Times New Roman"/>
          <w:noProof w:val="0"/>
          <w:sz w:val="24"/>
          <w:szCs w:val="24"/>
        </w:rPr>
      </w:pPr>
      <w:r>
        <w:rPr>
          <w:rFonts w:ascii="Times New Roman" w:hAnsi="Times New Roman"/>
          <w:noProof w:val="0"/>
          <w:sz w:val="24"/>
          <w:szCs w:val="24"/>
        </w:rPr>
        <w:t>2</w:t>
      </w:r>
      <w:r w:rsidR="001F0D8D" w:rsidRPr="00033AFB">
        <w:rPr>
          <w:rFonts w:ascii="Times New Roman" w:hAnsi="Times New Roman"/>
          <w:noProof w:val="0"/>
          <w:sz w:val="24"/>
          <w:szCs w:val="24"/>
        </w:rPr>
        <w:t>. Saskaņā ar Likuma 8.</w:t>
      </w:r>
      <w:r w:rsidR="001F0D8D" w:rsidRPr="00033AFB">
        <w:rPr>
          <w:rFonts w:ascii="Times New Roman" w:hAnsi="Times New Roman"/>
          <w:noProof w:val="0"/>
          <w:sz w:val="24"/>
          <w:szCs w:val="24"/>
          <w:vertAlign w:val="superscript"/>
        </w:rPr>
        <w:t>2</w:t>
      </w:r>
      <w:r w:rsidR="001F0D8D" w:rsidRPr="00033AFB">
        <w:rPr>
          <w:rFonts w:ascii="Times New Roman" w:hAnsi="Times New Roman"/>
          <w:noProof w:val="0"/>
          <w:sz w:val="24"/>
          <w:szCs w:val="24"/>
        </w:rPr>
        <w:t xml:space="preserve"> panta desmitās daļas nosacījumiem </w:t>
      </w:r>
      <w:r w:rsidR="00FC16AF">
        <w:rPr>
          <w:rFonts w:ascii="Times New Roman" w:eastAsia="Times New Roman" w:hAnsi="Times New Roman"/>
          <w:noProof w:val="0"/>
          <w:sz w:val="24"/>
          <w:szCs w:val="24"/>
        </w:rPr>
        <w:t>(redakcija, kas bija spēkā līdz 2017. gada 28. februārim)</w:t>
      </w:r>
      <w:r w:rsidR="00FC16AF">
        <w:rPr>
          <w:rFonts w:ascii="Times New Roman" w:eastAsia="Times New Roman" w:hAnsi="Times New Roman"/>
          <w:noProof w:val="0"/>
          <w:sz w:val="24"/>
          <w:szCs w:val="24"/>
        </w:rPr>
        <w:t xml:space="preserve"> </w:t>
      </w:r>
      <w:r w:rsidR="001F0D8D" w:rsidRPr="00033AFB">
        <w:rPr>
          <w:rFonts w:ascii="Times New Roman" w:hAnsi="Times New Roman"/>
          <w:noProof w:val="0"/>
          <w:sz w:val="24"/>
          <w:szCs w:val="24"/>
        </w:rPr>
        <w:t>informēt</w:t>
      </w:r>
      <w:r w:rsidR="00982667">
        <w:rPr>
          <w:rFonts w:ascii="Times New Roman" w:hAnsi="Times New Roman"/>
          <w:noProof w:val="0"/>
          <w:sz w:val="24"/>
          <w:szCs w:val="24"/>
        </w:rPr>
        <w:t xml:space="preserve"> pretendentu</w:t>
      </w:r>
      <w:r w:rsidR="00F602F9">
        <w:rPr>
          <w:rFonts w:ascii="Times New Roman" w:hAnsi="Times New Roman"/>
          <w:noProof w:val="0"/>
          <w:sz w:val="24"/>
          <w:szCs w:val="24"/>
        </w:rPr>
        <w:t>s</w:t>
      </w:r>
      <w:r w:rsidR="001F0D8D" w:rsidRPr="00033AFB">
        <w:rPr>
          <w:rFonts w:ascii="Times New Roman" w:hAnsi="Times New Roman"/>
          <w:noProof w:val="0"/>
          <w:sz w:val="24"/>
          <w:szCs w:val="24"/>
        </w:rPr>
        <w:t xml:space="preserve"> par </w:t>
      </w:r>
      <w:r w:rsidR="001F0D8D">
        <w:rPr>
          <w:rFonts w:ascii="Times New Roman" w:hAnsi="Times New Roman"/>
          <w:noProof w:val="0"/>
          <w:sz w:val="24"/>
          <w:szCs w:val="24"/>
        </w:rPr>
        <w:t>I</w:t>
      </w:r>
      <w:r w:rsidR="001F0D8D" w:rsidRPr="00033AFB">
        <w:rPr>
          <w:rFonts w:ascii="Times New Roman" w:hAnsi="Times New Roman"/>
          <w:noProof w:val="0"/>
          <w:sz w:val="24"/>
          <w:szCs w:val="24"/>
        </w:rPr>
        <w:t xml:space="preserve">epirkumu komisijas lēmuma </w:t>
      </w:r>
      <w:r w:rsidR="00AB6BA3">
        <w:rPr>
          <w:rFonts w:ascii="Times New Roman" w:hAnsi="Times New Roman"/>
          <w:noProof w:val="0"/>
          <w:sz w:val="24"/>
          <w:szCs w:val="24"/>
        </w:rPr>
        <w:t>1.</w:t>
      </w:r>
      <w:r w:rsidR="001F0D8D" w:rsidRPr="00033AFB">
        <w:rPr>
          <w:rFonts w:ascii="Times New Roman" w:hAnsi="Times New Roman"/>
          <w:noProof w:val="0"/>
          <w:sz w:val="24"/>
          <w:szCs w:val="24"/>
        </w:rPr>
        <w:t xml:space="preserve">punktā norādīto 3 (triju) darbdienu laikā pēc </w:t>
      </w:r>
      <w:r w:rsidR="001F0D8D">
        <w:rPr>
          <w:rFonts w:ascii="Times New Roman" w:hAnsi="Times New Roman"/>
          <w:noProof w:val="0"/>
          <w:sz w:val="24"/>
          <w:szCs w:val="24"/>
        </w:rPr>
        <w:t>I</w:t>
      </w:r>
      <w:r w:rsidR="001F0D8D" w:rsidRPr="00033AFB">
        <w:rPr>
          <w:rFonts w:ascii="Times New Roman" w:hAnsi="Times New Roman"/>
          <w:noProof w:val="0"/>
          <w:sz w:val="24"/>
          <w:szCs w:val="24"/>
        </w:rPr>
        <w:t>epirkumu komisijas lēmuma pieņemšanas.</w:t>
      </w:r>
    </w:p>
    <w:p w:rsidR="001F0D8D" w:rsidRPr="00033AFB" w:rsidRDefault="003451DB" w:rsidP="001F0D8D">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3</w:t>
      </w:r>
      <w:r w:rsidR="001F0D8D" w:rsidRPr="00033AFB">
        <w:rPr>
          <w:rFonts w:ascii="Times New Roman" w:hAnsi="Times New Roman"/>
          <w:noProof w:val="0"/>
          <w:sz w:val="24"/>
          <w:szCs w:val="24"/>
        </w:rPr>
        <w:t xml:space="preserve">. Atbilstoši Pārvaldes </w:t>
      </w:r>
      <w:r w:rsidR="001F0D8D" w:rsidRPr="00033AFB">
        <w:rPr>
          <w:rFonts w:ascii="Times New Roman" w:hAnsi="Times New Roman"/>
          <w:sz w:val="24"/>
          <w:szCs w:val="24"/>
        </w:rPr>
        <w:t xml:space="preserve">2013. gada 6. marta iekšējiem noteikumiem Nr. 1/13.1–n.–5 „Publisko iepirkumu organizēšanas kārtība Ieslodzījuma vietu pārvaldē” </w:t>
      </w:r>
      <w:r w:rsidR="001F0D8D" w:rsidRPr="00033AFB">
        <w:rPr>
          <w:rFonts w:ascii="Times New Roman" w:hAnsi="Times New Roman"/>
          <w:noProof w:val="0"/>
          <w:sz w:val="24"/>
          <w:szCs w:val="24"/>
        </w:rPr>
        <w:t xml:space="preserve">un ievērojot Likumā noteiktos termiņus līguma noslēgšanai, uzdot Pārvaldes centrālā aparāta Iepirkumu daļai koordinēt līguma noslēgšanu ar </w:t>
      </w:r>
      <w:r w:rsidR="001F0D8D">
        <w:rPr>
          <w:rFonts w:ascii="Times New Roman" w:hAnsi="Times New Roman"/>
          <w:noProof w:val="0"/>
          <w:sz w:val="24"/>
          <w:szCs w:val="24"/>
        </w:rPr>
        <w:t>I</w:t>
      </w:r>
      <w:r w:rsidR="001F0D8D" w:rsidRPr="00033AFB">
        <w:rPr>
          <w:rFonts w:ascii="Times New Roman" w:hAnsi="Times New Roman"/>
          <w:noProof w:val="0"/>
          <w:sz w:val="24"/>
          <w:szCs w:val="24"/>
        </w:rPr>
        <w:t xml:space="preserve">epirkumu </w:t>
      </w:r>
      <w:r w:rsidR="00576F77">
        <w:rPr>
          <w:rFonts w:ascii="Times New Roman" w:hAnsi="Times New Roman"/>
          <w:noProof w:val="0"/>
          <w:sz w:val="24"/>
          <w:szCs w:val="24"/>
        </w:rPr>
        <w:t>komi</w:t>
      </w:r>
      <w:r w:rsidR="00D6299F">
        <w:rPr>
          <w:rFonts w:ascii="Times New Roman" w:hAnsi="Times New Roman"/>
          <w:noProof w:val="0"/>
          <w:sz w:val="24"/>
          <w:szCs w:val="24"/>
        </w:rPr>
        <w:t>sijas lēmuma 1.punktā minēto pretendentu</w:t>
      </w:r>
      <w:r w:rsidR="001F0D8D" w:rsidRPr="00033AFB">
        <w:rPr>
          <w:rFonts w:ascii="Times New Roman" w:hAnsi="Times New Roman"/>
          <w:noProof w:val="0"/>
          <w:sz w:val="24"/>
          <w:szCs w:val="24"/>
        </w:rPr>
        <w:t>.</w:t>
      </w:r>
    </w:p>
    <w:p w:rsidR="001F0D8D" w:rsidRPr="00033AFB" w:rsidRDefault="003451DB" w:rsidP="001F0D8D">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4</w:t>
      </w:r>
      <w:r w:rsidR="001F0D8D" w:rsidRPr="00033AFB">
        <w:rPr>
          <w:rFonts w:ascii="Times New Roman" w:hAnsi="Times New Roman"/>
          <w:noProof w:val="0"/>
          <w:sz w:val="24"/>
          <w:szCs w:val="24"/>
        </w:rPr>
        <w:t>. Saskaņā ar Likuma 8.</w:t>
      </w:r>
      <w:r w:rsidR="001F0D8D" w:rsidRPr="00033AFB">
        <w:rPr>
          <w:rFonts w:ascii="Times New Roman" w:hAnsi="Times New Roman"/>
          <w:noProof w:val="0"/>
          <w:sz w:val="24"/>
          <w:szCs w:val="24"/>
          <w:vertAlign w:val="superscript"/>
        </w:rPr>
        <w:t>2</w:t>
      </w:r>
      <w:r w:rsidR="001F0D8D" w:rsidRPr="00033AFB">
        <w:rPr>
          <w:rFonts w:ascii="Times New Roman" w:hAnsi="Times New Roman"/>
          <w:noProof w:val="0"/>
          <w:sz w:val="24"/>
          <w:szCs w:val="24"/>
        </w:rPr>
        <w:t xml:space="preserve"> panta divpadsmito daļu </w:t>
      </w:r>
      <w:r w:rsidR="00FC16AF">
        <w:rPr>
          <w:rFonts w:ascii="Times New Roman" w:eastAsia="Times New Roman" w:hAnsi="Times New Roman"/>
          <w:noProof w:val="0"/>
          <w:sz w:val="24"/>
          <w:szCs w:val="24"/>
        </w:rPr>
        <w:t>(redakcija, kas bija spēkā līdz 2017.</w:t>
      </w:r>
      <w:r w:rsidR="00FC16AF">
        <w:rPr>
          <w:rFonts w:ascii="Times New Roman" w:eastAsia="Times New Roman" w:hAnsi="Times New Roman"/>
          <w:noProof w:val="0"/>
          <w:sz w:val="24"/>
          <w:szCs w:val="24"/>
        </w:rPr>
        <w:t> </w:t>
      </w:r>
      <w:r w:rsidR="00FC16AF">
        <w:rPr>
          <w:rFonts w:ascii="Times New Roman" w:eastAsia="Times New Roman" w:hAnsi="Times New Roman"/>
          <w:noProof w:val="0"/>
          <w:sz w:val="24"/>
          <w:szCs w:val="24"/>
        </w:rPr>
        <w:t>gada 28. februārim)</w:t>
      </w:r>
      <w:r w:rsidR="00FC16AF">
        <w:rPr>
          <w:rFonts w:ascii="Times New Roman" w:eastAsia="Times New Roman" w:hAnsi="Times New Roman"/>
          <w:noProof w:val="0"/>
          <w:sz w:val="24"/>
          <w:szCs w:val="24"/>
        </w:rPr>
        <w:t xml:space="preserve"> </w:t>
      </w:r>
      <w:r w:rsidR="001F0D8D" w:rsidRPr="00033AFB">
        <w:rPr>
          <w:rFonts w:ascii="Times New Roman" w:hAnsi="Times New Roman"/>
          <w:noProof w:val="0"/>
          <w:sz w:val="24"/>
          <w:szCs w:val="24"/>
        </w:rPr>
        <w:t>ne vēlāk kā 5 (piecas) darbdienas pēc līguma noslēgšanas publicēt informatīvu paziņojumu Iepirkumu uzraudzības biroja mājas lapā par noslēgto līgumu.</w:t>
      </w:r>
    </w:p>
    <w:p w:rsidR="00E51F30" w:rsidRDefault="00E51F30" w:rsidP="00F602F9">
      <w:pPr>
        <w:spacing w:before="240" w:after="12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1249EA">
        <w:rPr>
          <w:rFonts w:ascii="Times New Roman" w:hAnsi="Times New Roman"/>
          <w:noProof w:val="0"/>
          <w:sz w:val="24"/>
          <w:szCs w:val="24"/>
        </w:rPr>
        <w:t>plkst.10.00</w:t>
      </w:r>
      <w:r>
        <w:rPr>
          <w:rFonts w:ascii="Times New Roman" w:hAnsi="Times New Roman"/>
          <w:noProof w:val="0"/>
          <w:sz w:val="24"/>
          <w:szCs w:val="24"/>
        </w:rPr>
        <w:t>.</w:t>
      </w:r>
    </w:p>
    <w:p w:rsidR="00F71FE6" w:rsidRPr="00BE11BD" w:rsidRDefault="00F71FE6" w:rsidP="00F602F9">
      <w:pPr>
        <w:spacing w:before="360" w:after="0" w:line="480" w:lineRule="auto"/>
        <w:ind w:right="-1"/>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F71FE6" w:rsidRPr="00BE11BD" w:rsidRDefault="00F71FE6" w:rsidP="00FC16AF">
      <w:pPr>
        <w:tabs>
          <w:tab w:val="right" w:pos="9639"/>
        </w:tabs>
        <w:spacing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Iepirkumu komisijas priekšsēdētāja vietniece:</w:t>
      </w:r>
      <w:r w:rsidRPr="00BE11BD">
        <w:rPr>
          <w:rFonts w:ascii="Times New Roman" w:eastAsia="Times New Roman" w:hAnsi="Times New Roman"/>
          <w:noProof w:val="0"/>
          <w:sz w:val="24"/>
          <w:szCs w:val="24"/>
        </w:rPr>
        <w:tab/>
      </w:r>
      <w:r>
        <w:rPr>
          <w:rFonts w:ascii="Times New Roman" w:eastAsia="Times New Roman" w:hAnsi="Times New Roman"/>
          <w:noProof w:val="0"/>
          <w:sz w:val="24"/>
          <w:szCs w:val="24"/>
        </w:rPr>
        <w:t>N. Gruzd</w:t>
      </w:r>
      <w:r w:rsidRPr="00BE11BD">
        <w:rPr>
          <w:rFonts w:ascii="Times New Roman" w:eastAsia="Times New Roman" w:hAnsi="Times New Roman"/>
          <w:noProof w:val="0"/>
          <w:sz w:val="24"/>
          <w:szCs w:val="24"/>
        </w:rPr>
        <w:t>ova</w:t>
      </w:r>
    </w:p>
    <w:p w:rsidR="00F71FE6" w:rsidRDefault="00F71FE6" w:rsidP="00FC16AF">
      <w:pPr>
        <w:tabs>
          <w:tab w:val="right" w:pos="9639"/>
        </w:tabs>
        <w:spacing w:before="240" w:after="0" w:line="240" w:lineRule="auto"/>
        <w:jc w:val="right"/>
        <w:rPr>
          <w:rFonts w:ascii="Times New Roman" w:hAnsi="Times New Roman"/>
          <w:noProof w:val="0"/>
          <w:sz w:val="24"/>
          <w:szCs w:val="24"/>
        </w:rPr>
      </w:pPr>
      <w:r w:rsidRPr="00BE11BD">
        <w:rPr>
          <w:rFonts w:ascii="Times New Roman" w:eastAsia="Times New Roman" w:hAnsi="Times New Roman"/>
          <w:noProof w:val="0"/>
          <w:sz w:val="24"/>
          <w:szCs w:val="24"/>
        </w:rPr>
        <w:t>Iepirku</w:t>
      </w:r>
      <w:r>
        <w:rPr>
          <w:rFonts w:ascii="Times New Roman" w:eastAsia="Times New Roman" w:hAnsi="Times New Roman"/>
          <w:noProof w:val="0"/>
          <w:sz w:val="24"/>
          <w:szCs w:val="24"/>
        </w:rPr>
        <w:t>mu komisijas locekļi:</w:t>
      </w:r>
      <w:r>
        <w:rPr>
          <w:rFonts w:ascii="Times New Roman" w:eastAsia="Times New Roman" w:hAnsi="Times New Roman"/>
          <w:noProof w:val="0"/>
          <w:sz w:val="24"/>
          <w:szCs w:val="24"/>
        </w:rPr>
        <w:tab/>
        <w:t>I. Mališeva</w:t>
      </w:r>
    </w:p>
    <w:p w:rsidR="00232CF2" w:rsidRDefault="00F71FE6" w:rsidP="00FC16AF">
      <w:pPr>
        <w:tabs>
          <w:tab w:val="right" w:pos="9639"/>
        </w:tabs>
        <w:spacing w:before="240"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ab/>
      </w:r>
      <w:r w:rsidR="00232CF2">
        <w:rPr>
          <w:rFonts w:ascii="Times New Roman" w:eastAsia="Times New Roman" w:hAnsi="Times New Roman"/>
          <w:noProof w:val="0"/>
          <w:sz w:val="24"/>
          <w:szCs w:val="24"/>
        </w:rPr>
        <w:t>M. Vekmanis</w:t>
      </w:r>
    </w:p>
    <w:p w:rsidR="00232CF2" w:rsidRDefault="00232CF2" w:rsidP="00FC16AF">
      <w:pPr>
        <w:tabs>
          <w:tab w:val="right" w:pos="9639"/>
        </w:tabs>
        <w:spacing w:before="240"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V. Petruhins</w:t>
      </w:r>
    </w:p>
    <w:p w:rsidR="00232CF2" w:rsidRDefault="00F71FE6" w:rsidP="00FC16AF">
      <w:pPr>
        <w:tabs>
          <w:tab w:val="right" w:pos="9639"/>
        </w:tabs>
        <w:spacing w:before="240"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G. Bogdanovs</w:t>
      </w:r>
    </w:p>
    <w:sectPr w:rsidR="00232CF2" w:rsidSect="001F0D8D">
      <w:headerReference w:type="default" r:id="rId7"/>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1F6" w:rsidRDefault="002B61F6" w:rsidP="00171A05">
      <w:pPr>
        <w:spacing w:after="0" w:line="240" w:lineRule="auto"/>
      </w:pPr>
      <w:r>
        <w:separator/>
      </w:r>
    </w:p>
  </w:endnote>
  <w:endnote w:type="continuationSeparator" w:id="0">
    <w:p w:rsidR="002B61F6" w:rsidRDefault="002B61F6"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1F6" w:rsidRDefault="002B61F6" w:rsidP="00171A05">
      <w:pPr>
        <w:spacing w:after="0" w:line="240" w:lineRule="auto"/>
      </w:pPr>
      <w:r>
        <w:separator/>
      </w:r>
    </w:p>
  </w:footnote>
  <w:footnote w:type="continuationSeparator" w:id="0">
    <w:p w:rsidR="002B61F6" w:rsidRDefault="002B61F6"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025020788"/>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3C0852">
          <w:rPr>
            <w:rFonts w:ascii="Times New Roman" w:hAnsi="Times New Roman"/>
          </w:rPr>
          <w:t>3</w:t>
        </w:r>
        <w:r w:rsidRPr="00171A05">
          <w:rPr>
            <w:rFonts w:ascii="Times New Roman" w:hAnsi="Times New Roman"/>
          </w:rPr>
          <w:fldChar w:fldCharType="end"/>
        </w:r>
      </w:p>
    </w:sdtContent>
  </w:sdt>
  <w:p w:rsidR="00345924" w:rsidRDefault="003459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54351"/>
    <w:rsid w:val="00060216"/>
    <w:rsid w:val="00065320"/>
    <w:rsid w:val="00071A38"/>
    <w:rsid w:val="000A6CFF"/>
    <w:rsid w:val="000F4896"/>
    <w:rsid w:val="000F5F5C"/>
    <w:rsid w:val="0010081A"/>
    <w:rsid w:val="00116B93"/>
    <w:rsid w:val="0012230E"/>
    <w:rsid w:val="001249EA"/>
    <w:rsid w:val="001266F9"/>
    <w:rsid w:val="00134B72"/>
    <w:rsid w:val="001558C2"/>
    <w:rsid w:val="00171A05"/>
    <w:rsid w:val="00190BEA"/>
    <w:rsid w:val="001A5B62"/>
    <w:rsid w:val="001B6239"/>
    <w:rsid w:val="001C3910"/>
    <w:rsid w:val="001F0D8D"/>
    <w:rsid w:val="001F38A5"/>
    <w:rsid w:val="00225133"/>
    <w:rsid w:val="00231E4C"/>
    <w:rsid w:val="00232CF2"/>
    <w:rsid w:val="00236C3F"/>
    <w:rsid w:val="00246568"/>
    <w:rsid w:val="002809BA"/>
    <w:rsid w:val="002923E2"/>
    <w:rsid w:val="00297CF4"/>
    <w:rsid w:val="002A0B1F"/>
    <w:rsid w:val="002A56B7"/>
    <w:rsid w:val="002A7D94"/>
    <w:rsid w:val="002B4E75"/>
    <w:rsid w:val="002B5AEC"/>
    <w:rsid w:val="002B61F6"/>
    <w:rsid w:val="002E258A"/>
    <w:rsid w:val="002E45F2"/>
    <w:rsid w:val="002E6825"/>
    <w:rsid w:val="003160D9"/>
    <w:rsid w:val="0031693D"/>
    <w:rsid w:val="003264CA"/>
    <w:rsid w:val="003451DB"/>
    <w:rsid w:val="00345924"/>
    <w:rsid w:val="00352323"/>
    <w:rsid w:val="00354487"/>
    <w:rsid w:val="0037280A"/>
    <w:rsid w:val="00375738"/>
    <w:rsid w:val="00385FF6"/>
    <w:rsid w:val="00394C0A"/>
    <w:rsid w:val="003A5688"/>
    <w:rsid w:val="003A7685"/>
    <w:rsid w:val="003C0852"/>
    <w:rsid w:val="003D32F1"/>
    <w:rsid w:val="003D666A"/>
    <w:rsid w:val="003F6065"/>
    <w:rsid w:val="00407C5A"/>
    <w:rsid w:val="00410ACD"/>
    <w:rsid w:val="004247A9"/>
    <w:rsid w:val="00456C0E"/>
    <w:rsid w:val="0047120F"/>
    <w:rsid w:val="0047199F"/>
    <w:rsid w:val="004729F3"/>
    <w:rsid w:val="00496312"/>
    <w:rsid w:val="00497D52"/>
    <w:rsid w:val="004A2482"/>
    <w:rsid w:val="004B53C7"/>
    <w:rsid w:val="004B53DD"/>
    <w:rsid w:val="004C7732"/>
    <w:rsid w:val="004D10A9"/>
    <w:rsid w:val="004D2FB6"/>
    <w:rsid w:val="004E3098"/>
    <w:rsid w:val="004E7408"/>
    <w:rsid w:val="004E7A39"/>
    <w:rsid w:val="004F17C6"/>
    <w:rsid w:val="004F2E0B"/>
    <w:rsid w:val="004F74D7"/>
    <w:rsid w:val="00501DBD"/>
    <w:rsid w:val="00503C2A"/>
    <w:rsid w:val="005227D5"/>
    <w:rsid w:val="00531EE8"/>
    <w:rsid w:val="005471AA"/>
    <w:rsid w:val="0055276E"/>
    <w:rsid w:val="005531D8"/>
    <w:rsid w:val="00572201"/>
    <w:rsid w:val="00573F3A"/>
    <w:rsid w:val="00576F77"/>
    <w:rsid w:val="005802DF"/>
    <w:rsid w:val="0058257D"/>
    <w:rsid w:val="00583079"/>
    <w:rsid w:val="005C0FB4"/>
    <w:rsid w:val="005C4292"/>
    <w:rsid w:val="005C7319"/>
    <w:rsid w:val="005E24A4"/>
    <w:rsid w:val="005E29E0"/>
    <w:rsid w:val="005F44E2"/>
    <w:rsid w:val="00623F55"/>
    <w:rsid w:val="006261D1"/>
    <w:rsid w:val="00635FB9"/>
    <w:rsid w:val="006363D8"/>
    <w:rsid w:val="00640378"/>
    <w:rsid w:val="0065185B"/>
    <w:rsid w:val="006A2AEB"/>
    <w:rsid w:val="006C2E86"/>
    <w:rsid w:val="006C7519"/>
    <w:rsid w:val="00700F2B"/>
    <w:rsid w:val="00707C2A"/>
    <w:rsid w:val="0071608A"/>
    <w:rsid w:val="0072548A"/>
    <w:rsid w:val="00727E59"/>
    <w:rsid w:val="00742F2D"/>
    <w:rsid w:val="00754D77"/>
    <w:rsid w:val="00786F63"/>
    <w:rsid w:val="00791EC2"/>
    <w:rsid w:val="0079397E"/>
    <w:rsid w:val="007A00E2"/>
    <w:rsid w:val="007A22A5"/>
    <w:rsid w:val="00804062"/>
    <w:rsid w:val="008106F6"/>
    <w:rsid w:val="00813ADC"/>
    <w:rsid w:val="00820985"/>
    <w:rsid w:val="00830050"/>
    <w:rsid w:val="00860F66"/>
    <w:rsid w:val="008771BD"/>
    <w:rsid w:val="00895D5E"/>
    <w:rsid w:val="008D1B00"/>
    <w:rsid w:val="0090115C"/>
    <w:rsid w:val="0090795E"/>
    <w:rsid w:val="00914150"/>
    <w:rsid w:val="00982667"/>
    <w:rsid w:val="00990977"/>
    <w:rsid w:val="009973FB"/>
    <w:rsid w:val="009A379E"/>
    <w:rsid w:val="009A4776"/>
    <w:rsid w:val="009D1D6A"/>
    <w:rsid w:val="009E553F"/>
    <w:rsid w:val="009E6140"/>
    <w:rsid w:val="009F1E6B"/>
    <w:rsid w:val="009F3D95"/>
    <w:rsid w:val="00A02733"/>
    <w:rsid w:val="00A1043E"/>
    <w:rsid w:val="00A43A30"/>
    <w:rsid w:val="00A462FF"/>
    <w:rsid w:val="00A5080F"/>
    <w:rsid w:val="00A66E17"/>
    <w:rsid w:val="00A721DD"/>
    <w:rsid w:val="00A80547"/>
    <w:rsid w:val="00A813BC"/>
    <w:rsid w:val="00AB6BA3"/>
    <w:rsid w:val="00B15DB0"/>
    <w:rsid w:val="00B61282"/>
    <w:rsid w:val="00B73099"/>
    <w:rsid w:val="00B857E8"/>
    <w:rsid w:val="00B90BAE"/>
    <w:rsid w:val="00B9303C"/>
    <w:rsid w:val="00BA670B"/>
    <w:rsid w:val="00BE02A2"/>
    <w:rsid w:val="00BE2516"/>
    <w:rsid w:val="00BE4F2B"/>
    <w:rsid w:val="00BF05C1"/>
    <w:rsid w:val="00BF757C"/>
    <w:rsid w:val="00C27291"/>
    <w:rsid w:val="00C422E5"/>
    <w:rsid w:val="00C90319"/>
    <w:rsid w:val="00C916C9"/>
    <w:rsid w:val="00C9496F"/>
    <w:rsid w:val="00C94C78"/>
    <w:rsid w:val="00CC3E84"/>
    <w:rsid w:val="00CD20E0"/>
    <w:rsid w:val="00CF086C"/>
    <w:rsid w:val="00CF32E5"/>
    <w:rsid w:val="00D113A6"/>
    <w:rsid w:val="00D14FBE"/>
    <w:rsid w:val="00D158FC"/>
    <w:rsid w:val="00D365F3"/>
    <w:rsid w:val="00D602E9"/>
    <w:rsid w:val="00D6299F"/>
    <w:rsid w:val="00D64078"/>
    <w:rsid w:val="00D70E46"/>
    <w:rsid w:val="00D93F84"/>
    <w:rsid w:val="00D95E96"/>
    <w:rsid w:val="00DA6352"/>
    <w:rsid w:val="00DD0C89"/>
    <w:rsid w:val="00DD5686"/>
    <w:rsid w:val="00DE11DA"/>
    <w:rsid w:val="00DE4A02"/>
    <w:rsid w:val="00DE61BD"/>
    <w:rsid w:val="00E105EF"/>
    <w:rsid w:val="00E47AD4"/>
    <w:rsid w:val="00E51F30"/>
    <w:rsid w:val="00E54DDC"/>
    <w:rsid w:val="00E554E7"/>
    <w:rsid w:val="00E64420"/>
    <w:rsid w:val="00E722F8"/>
    <w:rsid w:val="00E753D5"/>
    <w:rsid w:val="00E75F0E"/>
    <w:rsid w:val="00E85BA4"/>
    <w:rsid w:val="00EB2652"/>
    <w:rsid w:val="00EE336D"/>
    <w:rsid w:val="00EE36BB"/>
    <w:rsid w:val="00EE4F6A"/>
    <w:rsid w:val="00EE7332"/>
    <w:rsid w:val="00EF2F27"/>
    <w:rsid w:val="00EF479B"/>
    <w:rsid w:val="00F14AB6"/>
    <w:rsid w:val="00F157B1"/>
    <w:rsid w:val="00F313AC"/>
    <w:rsid w:val="00F4203A"/>
    <w:rsid w:val="00F5507C"/>
    <w:rsid w:val="00F602F9"/>
    <w:rsid w:val="00F71FE6"/>
    <w:rsid w:val="00FA657C"/>
    <w:rsid w:val="00FB04F4"/>
    <w:rsid w:val="00FC0A9F"/>
    <w:rsid w:val="00FC16AF"/>
    <w:rsid w:val="00FC3DE5"/>
    <w:rsid w:val="00FC7368"/>
    <w:rsid w:val="00FE310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148D3058"/>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1AA92-CC19-4A9B-8D5A-8E792923F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5356</Words>
  <Characters>3054</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Vineta Vietniece</cp:lastModifiedBy>
  <cp:revision>3</cp:revision>
  <cp:lastPrinted>2017-03-02T06:34:00Z</cp:lastPrinted>
  <dcterms:created xsi:type="dcterms:W3CDTF">2017-03-02T06:34:00Z</dcterms:created>
  <dcterms:modified xsi:type="dcterms:W3CDTF">2017-03-02T07:47:00Z</dcterms:modified>
</cp:coreProperties>
</file>