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884" w:rsidRPr="00335884" w:rsidRDefault="00335884" w:rsidP="00335884">
      <w:pPr>
        <w:ind w:right="43"/>
        <w:jc w:val="center"/>
        <w:rPr>
          <w:lang w:eastAsia="en-US"/>
        </w:rPr>
      </w:pPr>
      <w:r w:rsidRPr="00335884">
        <w:rPr>
          <w:lang w:eastAsia="en-US"/>
        </w:rPr>
        <w:t>Ieslodzījuma vietu pārvaldes</w:t>
      </w:r>
    </w:p>
    <w:p w:rsidR="00335884" w:rsidRPr="00335884" w:rsidRDefault="00C34930" w:rsidP="00335884">
      <w:pPr>
        <w:ind w:right="43"/>
        <w:jc w:val="center"/>
        <w:rPr>
          <w:lang w:eastAsia="en-US"/>
        </w:rPr>
      </w:pPr>
      <w:r>
        <w:rPr>
          <w:lang w:eastAsia="en-US"/>
        </w:rPr>
        <w:t>iepirkuma</w:t>
      </w:r>
    </w:p>
    <w:p w:rsidR="00335884" w:rsidRPr="00335884" w:rsidRDefault="00335884" w:rsidP="00335884">
      <w:pPr>
        <w:ind w:right="-1"/>
        <w:jc w:val="center"/>
        <w:rPr>
          <w:b/>
          <w:lang w:eastAsia="en-US"/>
        </w:rPr>
      </w:pPr>
      <w:r w:rsidRPr="00335884">
        <w:rPr>
          <w:b/>
          <w:lang w:eastAsia="en-US"/>
        </w:rPr>
        <w:t>"</w:t>
      </w:r>
      <w:r w:rsidR="00866C0C" w:rsidRPr="009E6005">
        <w:rPr>
          <w:b/>
        </w:rPr>
        <w:t>Gāzes katlu mājas iekārtu apkalpošana ieslodzījuma vietās</w:t>
      </w:r>
      <w:r w:rsidRPr="00335884">
        <w:rPr>
          <w:b/>
          <w:lang w:eastAsia="en-US"/>
        </w:rPr>
        <w:t>"</w:t>
      </w:r>
    </w:p>
    <w:p w:rsidR="00335884" w:rsidRPr="00335884" w:rsidRDefault="00335884" w:rsidP="00335884">
      <w:pPr>
        <w:ind w:right="-1"/>
        <w:jc w:val="center"/>
        <w:rPr>
          <w:b/>
          <w:lang w:eastAsia="en-US"/>
        </w:rPr>
      </w:pPr>
      <w:r w:rsidRPr="00335884">
        <w:rPr>
          <w:b/>
          <w:lang w:eastAsia="en-US"/>
        </w:rPr>
        <w:t>(iepirkuma identifikācijas numurs IeVP 2018/</w:t>
      </w:r>
      <w:r w:rsidR="00866C0C">
        <w:rPr>
          <w:b/>
          <w:lang w:eastAsia="en-US"/>
        </w:rPr>
        <w:t>8</w:t>
      </w:r>
      <w:r>
        <w:rPr>
          <w:b/>
          <w:lang w:eastAsia="en-US"/>
        </w:rPr>
        <w:t>6</w:t>
      </w:r>
      <w:r w:rsidRPr="00335884">
        <w:rPr>
          <w:b/>
          <w:lang w:eastAsia="en-US"/>
        </w:rPr>
        <w:t>)</w:t>
      </w:r>
    </w:p>
    <w:p w:rsidR="00335884" w:rsidRPr="00C34930" w:rsidRDefault="00335884" w:rsidP="00335884">
      <w:pPr>
        <w:jc w:val="center"/>
        <w:rPr>
          <w:lang w:eastAsia="en-US"/>
        </w:rPr>
      </w:pPr>
      <w:r w:rsidRPr="00C34930">
        <w:rPr>
          <w:lang w:eastAsia="en-US"/>
        </w:rPr>
        <w:t>PRECIZĒJUMS</w:t>
      </w:r>
    </w:p>
    <w:p w:rsidR="00335884" w:rsidRDefault="00335884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</w:p>
    <w:p w:rsidR="00866C0C" w:rsidRPr="00866C0C" w:rsidRDefault="00CF7A59" w:rsidP="00866C0C">
      <w:pPr>
        <w:tabs>
          <w:tab w:val="left" w:pos="4680"/>
        </w:tabs>
        <w:jc w:val="both"/>
        <w:outlineLvl w:val="0"/>
        <w:rPr>
          <w:b/>
        </w:rPr>
      </w:pPr>
      <w:r w:rsidRPr="00866C0C">
        <w:rPr>
          <w:b/>
        </w:rPr>
        <w:t>1.</w:t>
      </w:r>
      <w:r w:rsidR="00866C0C" w:rsidRPr="00866C0C">
        <w:rPr>
          <w:b/>
        </w:rPr>
        <w:t xml:space="preserve"> </w:t>
      </w:r>
      <w:r w:rsidR="00866C0C" w:rsidRPr="00866C0C">
        <w:rPr>
          <w:b/>
        </w:rPr>
        <w:t>Finanšu piedāvājuma:</w:t>
      </w:r>
    </w:p>
    <w:p w:rsidR="00866C0C" w:rsidRDefault="00866C0C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</w:p>
    <w:p w:rsidR="00866C0C" w:rsidRPr="00C40F9D" w:rsidRDefault="00866C0C" w:rsidP="00866C0C">
      <w:r>
        <w:rPr>
          <w:b/>
        </w:rPr>
        <w:t>3</w:t>
      </w:r>
      <w:r w:rsidRPr="008A25D8">
        <w:rPr>
          <w:b/>
        </w:rPr>
        <w:t>.daļa</w:t>
      </w:r>
      <w:r w:rsidRPr="006F28D6">
        <w:rPr>
          <w:b/>
        </w:rPr>
        <w:t>.</w:t>
      </w:r>
      <w:r>
        <w:rPr>
          <w:b/>
        </w:rPr>
        <w:t xml:space="preserve"> </w:t>
      </w:r>
      <w:r w:rsidRPr="00864C9C">
        <w:t>Gāzes katlu mājas iekārtu apkalpošana</w:t>
      </w:r>
      <w:r>
        <w:t xml:space="preserve"> </w:t>
      </w:r>
      <w:r w:rsidRPr="00C40F9D">
        <w:t>Jēk</w:t>
      </w:r>
      <w:r>
        <w:t>abpils cietumā</w:t>
      </w:r>
    </w:p>
    <w:p w:rsidR="00866C0C" w:rsidRPr="008A25D8" w:rsidRDefault="00866C0C" w:rsidP="00866C0C"/>
    <w:tbl>
      <w:tblPr>
        <w:tblW w:w="974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2919"/>
        <w:gridCol w:w="1789"/>
        <w:gridCol w:w="1171"/>
        <w:gridCol w:w="1134"/>
        <w:gridCol w:w="1134"/>
      </w:tblGrid>
      <w:tr w:rsidR="00866C0C" w:rsidRPr="008A25D8" w:rsidTr="00230F2F">
        <w:trPr>
          <w:trHeight w:val="255"/>
        </w:trPr>
        <w:tc>
          <w:tcPr>
            <w:tcW w:w="1599" w:type="dxa"/>
            <w:vAlign w:val="center"/>
          </w:tcPr>
          <w:p w:rsidR="00866C0C" w:rsidRPr="00BF5760" w:rsidRDefault="00866C0C" w:rsidP="00230F2F">
            <w:pPr>
              <w:jc w:val="center"/>
              <w:rPr>
                <w:bCs/>
              </w:rPr>
            </w:pPr>
            <w:r w:rsidRPr="00BF5760">
              <w:rPr>
                <w:bCs/>
              </w:rPr>
              <w:t>Periodiskums</w:t>
            </w:r>
          </w:p>
        </w:tc>
        <w:tc>
          <w:tcPr>
            <w:tcW w:w="2919" w:type="dxa"/>
            <w:noWrap/>
            <w:vAlign w:val="center"/>
          </w:tcPr>
          <w:p w:rsidR="00866C0C" w:rsidRPr="00BF5760" w:rsidRDefault="00866C0C" w:rsidP="00230F2F">
            <w:pPr>
              <w:jc w:val="center"/>
            </w:pPr>
            <w:r w:rsidRPr="00BF5760">
              <w:rPr>
                <w:bCs/>
              </w:rPr>
              <w:t>Apkalpojamo sistēmu nosaukums un apraksts</w:t>
            </w:r>
          </w:p>
        </w:tc>
        <w:tc>
          <w:tcPr>
            <w:tcW w:w="1789" w:type="dxa"/>
            <w:noWrap/>
            <w:vAlign w:val="center"/>
          </w:tcPr>
          <w:p w:rsidR="00866C0C" w:rsidRPr="00BF5760" w:rsidRDefault="00866C0C" w:rsidP="00230F2F">
            <w:pPr>
              <w:jc w:val="center"/>
            </w:pPr>
            <w:r w:rsidRPr="00BF5760">
              <w:rPr>
                <w:bCs/>
              </w:rPr>
              <w:t>Veicamo darbu apraksts</w:t>
            </w:r>
          </w:p>
        </w:tc>
        <w:tc>
          <w:tcPr>
            <w:tcW w:w="1171" w:type="dxa"/>
            <w:vAlign w:val="center"/>
          </w:tcPr>
          <w:p w:rsidR="00866C0C" w:rsidRPr="00BF5760" w:rsidRDefault="00866C0C" w:rsidP="00230F2F">
            <w:pPr>
              <w:jc w:val="center"/>
              <w:rPr>
                <w:bCs/>
              </w:rPr>
            </w:pPr>
            <w:r w:rsidRPr="00BF5760">
              <w:rPr>
                <w:bCs/>
              </w:rPr>
              <w:t>Cena, EUR, bez PVN</w:t>
            </w:r>
          </w:p>
        </w:tc>
        <w:tc>
          <w:tcPr>
            <w:tcW w:w="1134" w:type="dxa"/>
            <w:vAlign w:val="center"/>
          </w:tcPr>
          <w:p w:rsidR="00866C0C" w:rsidRPr="008A25D8" w:rsidRDefault="00866C0C" w:rsidP="00230F2F">
            <w:pPr>
              <w:jc w:val="center"/>
            </w:pPr>
            <w:r>
              <w:t>Reizes gadā</w:t>
            </w:r>
          </w:p>
        </w:tc>
        <w:tc>
          <w:tcPr>
            <w:tcW w:w="1134" w:type="dxa"/>
            <w:vAlign w:val="center"/>
          </w:tcPr>
          <w:p w:rsidR="00866C0C" w:rsidRPr="008A25D8" w:rsidRDefault="00866C0C" w:rsidP="00230F2F">
            <w:pPr>
              <w:jc w:val="center"/>
            </w:pPr>
            <w:r>
              <w:t>Cena kopā EUR, bez PVN</w:t>
            </w: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Align w:val="center"/>
          </w:tcPr>
          <w:p w:rsidR="00866C0C" w:rsidRPr="008A25D8" w:rsidRDefault="00866C0C" w:rsidP="00230F2F">
            <w:pPr>
              <w:jc w:val="center"/>
            </w:pPr>
            <w:r>
              <w:t>1</w:t>
            </w: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pPr>
              <w:jc w:val="center"/>
            </w:pPr>
            <w:r>
              <w:t>2</w:t>
            </w:r>
          </w:p>
        </w:tc>
        <w:tc>
          <w:tcPr>
            <w:tcW w:w="1789" w:type="dxa"/>
            <w:noWrap/>
            <w:vAlign w:val="center"/>
          </w:tcPr>
          <w:p w:rsidR="00866C0C" w:rsidRPr="008A25D8" w:rsidRDefault="00866C0C" w:rsidP="00230F2F">
            <w:pPr>
              <w:jc w:val="center"/>
            </w:pPr>
            <w:r>
              <w:t>3</w:t>
            </w:r>
          </w:p>
        </w:tc>
        <w:tc>
          <w:tcPr>
            <w:tcW w:w="1171" w:type="dxa"/>
            <w:vAlign w:val="center"/>
          </w:tcPr>
          <w:p w:rsidR="00866C0C" w:rsidRPr="008A25D8" w:rsidRDefault="00866C0C" w:rsidP="00230F2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866C0C" w:rsidRDefault="00866C0C" w:rsidP="00230F2F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866C0C" w:rsidRPr="008A25D8" w:rsidRDefault="00866C0C" w:rsidP="00230F2F">
            <w:pPr>
              <w:jc w:val="center"/>
            </w:pPr>
            <w:r>
              <w:t>6=4x5</w:t>
            </w: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 w:val="restart"/>
            <w:vAlign w:val="center"/>
          </w:tcPr>
          <w:p w:rsidR="00866C0C" w:rsidRPr="008A25D8" w:rsidRDefault="00866C0C" w:rsidP="00230F2F">
            <w:r w:rsidRPr="008A25D8">
              <w:t>1 reizi 3 mēnešos (Darbi A)</w:t>
            </w: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rPr>
                <w:b/>
                <w:bCs/>
              </w:rPr>
              <w:t>Katls Nr.1 un Katls Nr.2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/>
        </w:tc>
        <w:tc>
          <w:tcPr>
            <w:tcW w:w="1171" w:type="dxa"/>
            <w:vMerge w:val="restart"/>
          </w:tcPr>
          <w:p w:rsidR="00866C0C" w:rsidRPr="008A25D8" w:rsidRDefault="00866C0C" w:rsidP="00230F2F"/>
        </w:tc>
        <w:tc>
          <w:tcPr>
            <w:tcW w:w="1134" w:type="dxa"/>
            <w:vMerge w:val="restart"/>
            <w:vAlign w:val="center"/>
          </w:tcPr>
          <w:p w:rsidR="00866C0C" w:rsidRPr="008A25D8" w:rsidRDefault="00866C0C" w:rsidP="00230F2F">
            <w:pPr>
              <w:jc w:val="center"/>
            </w:pPr>
            <w: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Ārējā apskate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Dūmgāzu izvades caurule, savienojumi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Cauruļvadu stāvoklis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Noslēgvārstu stāvoklis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Cirkulācijas sūknis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Trejgaitu vārsts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Trejgaitu vārsta piedziņa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Filtrs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Tīrīšana, nepieciešamības gadījumā nomaiņa.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Drošības vārstu stāvoklis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Izplešanās tvertne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Apskate, spiediena 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Manometru rādījumi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Izolācija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rPr>
                <w:b/>
                <w:bCs/>
              </w:rPr>
              <w:t>Deglis Nr.1 un Deglis Nr.2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/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Ārējā apskate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ind w:left="-108"/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Degļa ventilators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ind w:left="-108"/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Savienojums ar katlu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ind w:left="-108"/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Jaudas regulatora piedziņa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Apskate, 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ind w:left="-108"/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Gāzes pievada cauruļvadi un savienojumi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Pārbaude ar indikatoru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ind w:left="-108"/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Gāzes vārsts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Apskate, 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ind w:left="-108"/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Gāzes regulators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Apskate, 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ind w:left="-250"/>
              <w:jc w:val="center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Kustīgās komponentes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Eļļošana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rPr>
                <w:b/>
                <w:bCs/>
              </w:rPr>
              <w:t>Citas iekārtas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/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Siltā ūdens loka siltummaiņi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Apskate, nepieciešamības gadījumā skalošana.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Siltā ūdens loka divgaitu vārsti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Siltā ūdens  loka divgaitu vārstu piedziņas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Siltā ūdens  loka regulators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Parametru 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Piebarošanas ūdens tvertne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Piebarošanas sūkņi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Ūdens mīkstināšanas iekārta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Ūdens filtrs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Tīrīšana, nepieciešamības gadījumā nomaiņa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Piebarošanas ūdens tvertne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Līmeņa devēji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Trases sūkņi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Gāzes noplūdes detektors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>Elektromagnētiskais gāzes vārsts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jc w:val="both"/>
            </w:pPr>
          </w:p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pPr>
              <w:rPr>
                <w:b/>
              </w:rPr>
            </w:pPr>
            <w:r w:rsidRPr="008A25D8">
              <w:rPr>
                <w:b/>
              </w:rPr>
              <w:t>Funkcionāla kontrole</w:t>
            </w:r>
          </w:p>
        </w:tc>
        <w:tc>
          <w:tcPr>
            <w:tcW w:w="1789" w:type="dxa"/>
            <w:noWrap/>
            <w:vAlign w:val="bottom"/>
            <w:hideMark/>
          </w:tcPr>
          <w:p w:rsidR="00866C0C" w:rsidRPr="008A25D8" w:rsidRDefault="00866C0C" w:rsidP="00230F2F">
            <w:pPr>
              <w:ind w:firstLine="709"/>
              <w:jc w:val="both"/>
            </w:pP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ind w:firstLine="709"/>
              <w:jc w:val="both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ind w:firstLine="709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ind w:firstLine="709"/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/>
        </w:tc>
        <w:tc>
          <w:tcPr>
            <w:tcW w:w="2919" w:type="dxa"/>
            <w:noWrap/>
            <w:vAlign w:val="center"/>
            <w:hideMark/>
          </w:tcPr>
          <w:p w:rsidR="00866C0C" w:rsidRPr="008A25D8" w:rsidRDefault="00866C0C" w:rsidP="00230F2F">
            <w:r w:rsidRPr="008A25D8">
              <w:t xml:space="preserve">Automātikas funkcionēšanas </w:t>
            </w:r>
          </w:p>
        </w:tc>
        <w:tc>
          <w:tcPr>
            <w:tcW w:w="1789" w:type="dxa"/>
            <w:noWrap/>
            <w:hideMark/>
          </w:tcPr>
          <w:p w:rsidR="00866C0C" w:rsidRPr="008A25D8" w:rsidRDefault="00866C0C" w:rsidP="00230F2F">
            <w:r w:rsidRPr="008A25D8">
              <w:t>Pārbaude atbilstoši instrukcijām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/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 w:val="restart"/>
            <w:vAlign w:val="center"/>
          </w:tcPr>
          <w:p w:rsidR="00866C0C" w:rsidRPr="008A25D8" w:rsidRDefault="00866C0C" w:rsidP="00230F2F">
            <w:r w:rsidRPr="008A25D8">
              <w:t>1 reizi pusgadā</w:t>
            </w:r>
          </w:p>
          <w:p w:rsidR="00866C0C" w:rsidRPr="008A25D8" w:rsidRDefault="00866C0C" w:rsidP="00230F2F">
            <w:pPr>
              <w:rPr>
                <w:b/>
                <w:bCs/>
              </w:rPr>
            </w:pPr>
            <w:r w:rsidRPr="008A25D8">
              <w:t>(Darbi B)</w:t>
            </w: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pPr>
              <w:rPr>
                <w:bCs/>
              </w:rPr>
            </w:pPr>
            <w:r w:rsidRPr="008A25D8">
              <w:rPr>
                <w:bCs/>
              </w:rPr>
              <w:t xml:space="preserve">Darbi A 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71" w:type="dxa"/>
            <w:vMerge w:val="restart"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66C0C" w:rsidRPr="00F2027F" w:rsidRDefault="00866C0C" w:rsidP="00230F2F">
            <w:pPr>
              <w:jc w:val="center"/>
              <w:rPr>
                <w:bCs/>
              </w:rPr>
            </w:pPr>
            <w:r w:rsidRPr="00F2027F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Aeratora iekārta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Pārbaude, nepieciešamības gadījumā regulēšana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Spiediena paaugstināšanas iekārta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 w:val="restart"/>
            <w:vAlign w:val="center"/>
          </w:tcPr>
          <w:p w:rsidR="00866C0C" w:rsidRPr="008A25D8" w:rsidRDefault="00866C0C" w:rsidP="00230F2F">
            <w:r w:rsidRPr="008A25D8">
              <w:t>1 reizi gadā</w:t>
            </w:r>
          </w:p>
          <w:p w:rsidR="00866C0C" w:rsidRPr="008A25D8" w:rsidRDefault="00866C0C" w:rsidP="00230F2F">
            <w:pPr>
              <w:rPr>
                <w:b/>
                <w:bCs/>
              </w:rPr>
            </w:pPr>
            <w:r w:rsidRPr="008A25D8">
              <w:t>(Darbi C)</w:t>
            </w: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pPr>
              <w:rPr>
                <w:bCs/>
              </w:rPr>
            </w:pPr>
            <w:r w:rsidRPr="008A25D8">
              <w:rPr>
                <w:bCs/>
              </w:rPr>
              <w:t>Darbi A un Darbi B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71" w:type="dxa"/>
            <w:vMerge w:val="restart"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66C0C" w:rsidRPr="00F2027F" w:rsidRDefault="00866C0C" w:rsidP="00230F2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Gāzes filtrs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Tīrīšana, nepieciešamības gadījumā nomaiņa.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Manometru rādījumi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Aizdedzes elektrodi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Apskate, nepieciešamības gadījumā tīrīšana.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Aizdedzes kabeļi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Sprauslas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Apskate, nepieciešamības gadījumā tīrīšana.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Liesmas atbalsta plāksne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Apskate, nepieciešamības gadījumā tīrīšana.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r w:rsidRPr="008A25D8">
              <w:t>Darbības pārbaude pie dažādiem režīmiem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r w:rsidRPr="008A25D8">
              <w:t>Režīmkartes sastādīšana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 w:val="restart"/>
            <w:vAlign w:val="center"/>
          </w:tcPr>
          <w:p w:rsidR="00866C0C" w:rsidRPr="008A25D8" w:rsidRDefault="00866C0C" w:rsidP="00230F2F">
            <w:pPr>
              <w:rPr>
                <w:bCs/>
              </w:rPr>
            </w:pPr>
            <w:r w:rsidRPr="008A25D8">
              <w:rPr>
                <w:bCs/>
              </w:rPr>
              <w:t>1 reizi gadā pirms apkures sezonas uzsākšanas un 1 reizi apkures sezonas vidus</w:t>
            </w: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Apkures loka siltummaiņi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Apskate, nepieciešamības gadījumā skalošana.</w:t>
            </w:r>
          </w:p>
        </w:tc>
        <w:tc>
          <w:tcPr>
            <w:tcW w:w="1171" w:type="dxa"/>
            <w:vMerge w:val="restart"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66C0C" w:rsidRPr="00F2027F" w:rsidRDefault="00866C0C" w:rsidP="00230F2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  <w:vAlign w:val="center"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Apkures loka divgaitu vārsti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  <w:vAlign w:val="center"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Apkures loka divgaitu vārstu piedziņas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Apskate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  <w:vAlign w:val="center"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noWrap/>
            <w:vAlign w:val="center"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Apkures loka regulators</w:t>
            </w:r>
          </w:p>
        </w:tc>
        <w:tc>
          <w:tcPr>
            <w:tcW w:w="1789" w:type="dxa"/>
            <w:noWrap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Parametru pārbaude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 w:val="restart"/>
            <w:vAlign w:val="center"/>
          </w:tcPr>
          <w:p w:rsidR="00866C0C" w:rsidRPr="008A25D8" w:rsidRDefault="00866C0C" w:rsidP="00230F2F">
            <w:pPr>
              <w:rPr>
                <w:bCs/>
              </w:rPr>
            </w:pPr>
            <w:r w:rsidRPr="008A25D8">
              <w:rPr>
                <w:color w:val="000000"/>
              </w:rPr>
              <w:t>1 reizi gadā pirms apkures sezonas uzsākšanas un 1 reizi pēc apkures sezonas beigām</w:t>
            </w:r>
          </w:p>
        </w:tc>
        <w:tc>
          <w:tcPr>
            <w:tcW w:w="2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 xml:space="preserve">Degšanas procesa kontrole ar speciālu mēraparatūru, CO2,02 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Mērīšana divas reizes gadā</w:t>
            </w:r>
          </w:p>
        </w:tc>
        <w:tc>
          <w:tcPr>
            <w:tcW w:w="1171" w:type="dxa"/>
            <w:vMerge w:val="restart"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66C0C" w:rsidRPr="00F2027F" w:rsidRDefault="00866C0C" w:rsidP="00230F2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866C0C" w:rsidRPr="008A25D8" w:rsidRDefault="00866C0C" w:rsidP="00230F2F">
            <w:pPr>
              <w:jc w:val="center"/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Degļu ieregulēšana pēc dūmgāžu analizātora rādījumiem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Ieregulēšana pēc nepieciešamības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1599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 xml:space="preserve">Gāzes regulatora punkta (GRP) apkope 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C0C" w:rsidRPr="008A25D8" w:rsidRDefault="00866C0C" w:rsidP="00230F2F">
            <w:pPr>
              <w:rPr>
                <w:color w:val="000000"/>
              </w:rPr>
            </w:pPr>
            <w:r w:rsidRPr="008A25D8">
              <w:rPr>
                <w:color w:val="000000"/>
              </w:rPr>
              <w:t>Pārbaude divas reizes gadā</w:t>
            </w:r>
          </w:p>
        </w:tc>
        <w:tc>
          <w:tcPr>
            <w:tcW w:w="1171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</w:tr>
      <w:tr w:rsidR="00866C0C" w:rsidRPr="008A25D8" w:rsidTr="00866C0C">
        <w:trPr>
          <w:trHeight w:val="255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C0C" w:rsidRPr="00866C0C" w:rsidRDefault="00866C0C" w:rsidP="00866C0C">
            <w:pPr>
              <w:rPr>
                <w:color w:val="FF0000"/>
              </w:rPr>
            </w:pPr>
            <w:r w:rsidRPr="00866C0C">
              <w:rPr>
                <w:color w:val="FF0000"/>
              </w:rPr>
              <w:t>1 reizi gadā pirms apkures sezonas uzsākšanas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6C0C" w:rsidRPr="00866C0C" w:rsidRDefault="00866C0C" w:rsidP="00866C0C">
            <w:pPr>
              <w:rPr>
                <w:color w:val="FF0000"/>
              </w:rPr>
            </w:pPr>
            <w:r w:rsidRPr="00866C0C">
              <w:rPr>
                <w:color w:val="FF0000"/>
              </w:rPr>
              <w:t>Dūmeņu ārēja apskate, dūmeņa un dūmvadu tīrīšanā un vilkmes pārbaude.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6C0C" w:rsidRPr="00866C0C" w:rsidRDefault="00866C0C" w:rsidP="00866C0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Apskate, tīrīšana, pārbaude</w:t>
            </w:r>
          </w:p>
        </w:tc>
        <w:tc>
          <w:tcPr>
            <w:tcW w:w="1171" w:type="dxa"/>
          </w:tcPr>
          <w:p w:rsidR="00866C0C" w:rsidRPr="00866C0C" w:rsidRDefault="00866C0C" w:rsidP="00866C0C">
            <w:pPr>
              <w:rPr>
                <w:bCs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866C0C" w:rsidRPr="00866C0C" w:rsidRDefault="00866C0C" w:rsidP="00866C0C">
            <w:pPr>
              <w:jc w:val="center"/>
              <w:rPr>
                <w:bCs/>
                <w:color w:val="FF0000"/>
              </w:rPr>
            </w:pPr>
            <w:r w:rsidRPr="00866C0C">
              <w:rPr>
                <w:bCs/>
                <w:color w:val="FF0000"/>
              </w:rPr>
              <w:t>1</w:t>
            </w:r>
          </w:p>
        </w:tc>
        <w:tc>
          <w:tcPr>
            <w:tcW w:w="1134" w:type="dxa"/>
          </w:tcPr>
          <w:p w:rsidR="00866C0C" w:rsidRPr="008A25D8" w:rsidRDefault="00866C0C" w:rsidP="00866C0C">
            <w:pPr>
              <w:rPr>
                <w:b/>
                <w:bCs/>
              </w:rPr>
            </w:pPr>
          </w:p>
        </w:tc>
      </w:tr>
      <w:tr w:rsidR="00866C0C" w:rsidRPr="008A25D8" w:rsidTr="00230F2F">
        <w:trPr>
          <w:trHeight w:val="255"/>
        </w:trPr>
        <w:tc>
          <w:tcPr>
            <w:tcW w:w="8612" w:type="dxa"/>
            <w:gridSpan w:val="5"/>
          </w:tcPr>
          <w:p w:rsidR="00866C0C" w:rsidRPr="008A25D8" w:rsidRDefault="00866C0C" w:rsidP="00230F2F">
            <w:pPr>
              <w:jc w:val="right"/>
              <w:rPr>
                <w:b/>
                <w:bCs/>
              </w:rPr>
            </w:pPr>
            <w:r>
              <w:t>Pakalpojuma (apkalpošanas) kopējā cena gadā (bez PVN)* :</w:t>
            </w:r>
          </w:p>
        </w:tc>
        <w:tc>
          <w:tcPr>
            <w:tcW w:w="1134" w:type="dxa"/>
          </w:tcPr>
          <w:p w:rsidR="00866C0C" w:rsidRPr="008A25D8" w:rsidRDefault="00866C0C" w:rsidP="00230F2F">
            <w:pPr>
              <w:rPr>
                <w:b/>
                <w:bCs/>
              </w:rPr>
            </w:pPr>
          </w:p>
        </w:tc>
      </w:tr>
    </w:tbl>
    <w:p w:rsidR="00866C0C" w:rsidRDefault="00866C0C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</w:p>
    <w:p w:rsidR="0057729D" w:rsidRDefault="0057729D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</w:p>
    <w:p w:rsidR="0057729D" w:rsidRPr="00C40F9D" w:rsidRDefault="0057729D" w:rsidP="0057729D">
      <w:r>
        <w:rPr>
          <w:b/>
        </w:rPr>
        <w:t>6</w:t>
      </w:r>
      <w:r w:rsidRPr="002925D2">
        <w:rPr>
          <w:b/>
        </w:rPr>
        <w:t>.daļa</w:t>
      </w:r>
      <w:r>
        <w:rPr>
          <w:b/>
        </w:rPr>
        <w:t>.</w:t>
      </w:r>
      <w:r w:rsidRPr="002925D2">
        <w:rPr>
          <w:b/>
        </w:rPr>
        <w:t xml:space="preserve"> </w:t>
      </w:r>
      <w:r w:rsidRPr="00864C9C">
        <w:t>Gāzes katlu mājas iekārtu apkalpošana</w:t>
      </w:r>
      <w:r>
        <w:t xml:space="preserve"> Valmieras  cietumā</w:t>
      </w:r>
      <w:r w:rsidRPr="00C40F9D">
        <w:t xml:space="preserve">  </w:t>
      </w:r>
    </w:p>
    <w:p w:rsidR="0057729D" w:rsidRPr="008A25D8" w:rsidRDefault="0057729D" w:rsidP="0057729D"/>
    <w:tbl>
      <w:tblPr>
        <w:tblW w:w="974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3772"/>
        <w:gridCol w:w="1378"/>
        <w:gridCol w:w="1344"/>
        <w:gridCol w:w="1344"/>
      </w:tblGrid>
      <w:tr w:rsidR="0057729D" w:rsidRPr="008A25D8" w:rsidTr="00230F2F">
        <w:tc>
          <w:tcPr>
            <w:tcW w:w="1908" w:type="dxa"/>
            <w:shd w:val="clear" w:color="auto" w:fill="auto"/>
            <w:vAlign w:val="center"/>
          </w:tcPr>
          <w:p w:rsidR="0057729D" w:rsidRPr="008A25D8" w:rsidRDefault="0057729D" w:rsidP="00230F2F">
            <w:pPr>
              <w:jc w:val="center"/>
            </w:pPr>
            <w:r w:rsidRPr="008A25D8">
              <w:t>Darbu veikšanas periodiskums</w:t>
            </w:r>
          </w:p>
        </w:tc>
        <w:tc>
          <w:tcPr>
            <w:tcW w:w="3772" w:type="dxa"/>
            <w:shd w:val="clear" w:color="auto" w:fill="auto"/>
            <w:vAlign w:val="center"/>
          </w:tcPr>
          <w:p w:rsidR="0057729D" w:rsidRPr="008A25D8" w:rsidRDefault="0057729D" w:rsidP="00230F2F">
            <w:pPr>
              <w:jc w:val="center"/>
            </w:pPr>
            <w:r w:rsidRPr="008A25D8">
              <w:t>Servisa apkalpošanas darbu saraksts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7729D" w:rsidRPr="008A25D8" w:rsidRDefault="0057729D" w:rsidP="00230F2F">
            <w:pPr>
              <w:jc w:val="center"/>
            </w:pPr>
            <w:r w:rsidRPr="008A25D8">
              <w:t>Cena, EUR, bez PVN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57729D" w:rsidRPr="008A25D8" w:rsidRDefault="0057729D" w:rsidP="00230F2F">
            <w:pPr>
              <w:jc w:val="center"/>
            </w:pPr>
            <w:r>
              <w:t>Reizes gadā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57729D" w:rsidRPr="008A25D8" w:rsidRDefault="0057729D" w:rsidP="00230F2F">
            <w:pPr>
              <w:jc w:val="center"/>
            </w:pPr>
            <w:r>
              <w:t>Cena kopā EUR, bez PVN</w:t>
            </w:r>
          </w:p>
        </w:tc>
      </w:tr>
      <w:tr w:rsidR="0057729D" w:rsidRPr="008A25D8" w:rsidTr="00230F2F">
        <w:tc>
          <w:tcPr>
            <w:tcW w:w="1908" w:type="dxa"/>
            <w:shd w:val="clear" w:color="auto" w:fill="auto"/>
            <w:vAlign w:val="center"/>
          </w:tcPr>
          <w:p w:rsidR="0057729D" w:rsidRPr="008A25D8" w:rsidRDefault="0057729D" w:rsidP="00230F2F">
            <w:pPr>
              <w:jc w:val="center"/>
            </w:pPr>
            <w:r>
              <w:t>1</w:t>
            </w:r>
          </w:p>
        </w:tc>
        <w:tc>
          <w:tcPr>
            <w:tcW w:w="3772" w:type="dxa"/>
            <w:shd w:val="clear" w:color="auto" w:fill="auto"/>
            <w:vAlign w:val="center"/>
          </w:tcPr>
          <w:p w:rsidR="0057729D" w:rsidRPr="008A25D8" w:rsidRDefault="0057729D" w:rsidP="00230F2F">
            <w:pPr>
              <w:jc w:val="center"/>
            </w:pPr>
            <w:r>
              <w:t>2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7729D" w:rsidRPr="008A25D8" w:rsidRDefault="0057729D" w:rsidP="00230F2F">
            <w:pPr>
              <w:jc w:val="center"/>
            </w:pPr>
            <w:r>
              <w:t>3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57729D" w:rsidRPr="008A25D8" w:rsidRDefault="0057729D" w:rsidP="00230F2F">
            <w:pPr>
              <w:jc w:val="center"/>
            </w:pPr>
            <w:r>
              <w:t>4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57729D" w:rsidRDefault="0057729D" w:rsidP="00230F2F">
            <w:pPr>
              <w:jc w:val="center"/>
            </w:pPr>
            <w:r>
              <w:t>5=3x4</w:t>
            </w:r>
          </w:p>
        </w:tc>
      </w:tr>
      <w:tr w:rsidR="0057729D" w:rsidRPr="00A97CDA" w:rsidTr="00230F2F">
        <w:tc>
          <w:tcPr>
            <w:tcW w:w="1908" w:type="dxa"/>
            <w:shd w:val="clear" w:color="auto" w:fill="auto"/>
            <w:vAlign w:val="center"/>
          </w:tcPr>
          <w:p w:rsidR="0057729D" w:rsidRPr="008A25D8" w:rsidRDefault="0057729D" w:rsidP="00230F2F">
            <w:r w:rsidRPr="008A25D8">
              <w:t>1 reizi mēnesī</w:t>
            </w:r>
          </w:p>
          <w:p w:rsidR="0057729D" w:rsidRPr="008A25D8" w:rsidRDefault="0057729D" w:rsidP="00230F2F">
            <w:r w:rsidRPr="008A25D8">
              <w:t>(Darbi A)</w:t>
            </w:r>
          </w:p>
        </w:tc>
        <w:tc>
          <w:tcPr>
            <w:tcW w:w="3772" w:type="dxa"/>
            <w:shd w:val="clear" w:color="auto" w:fill="auto"/>
          </w:tcPr>
          <w:p w:rsidR="0057729D" w:rsidRPr="008A25D8" w:rsidRDefault="0057729D" w:rsidP="00230F2F">
            <w:r w:rsidRPr="008A25D8">
              <w:t>Katlu apkalpošana:</w:t>
            </w:r>
          </w:p>
          <w:p w:rsidR="0057729D" w:rsidRPr="008A25D8" w:rsidRDefault="0057729D" w:rsidP="0057729D">
            <w:pPr>
              <w:numPr>
                <w:ilvl w:val="0"/>
                <w:numId w:val="1"/>
              </w:numPr>
            </w:pPr>
            <w:r w:rsidRPr="008A25D8">
              <w:t>katla elektriskā savienojuma pārbaude;</w:t>
            </w:r>
          </w:p>
          <w:p w:rsidR="0057729D" w:rsidRPr="008A25D8" w:rsidRDefault="0057729D" w:rsidP="0057729D">
            <w:pPr>
              <w:numPr>
                <w:ilvl w:val="0"/>
                <w:numId w:val="1"/>
              </w:numPr>
            </w:pPr>
            <w:r w:rsidRPr="008A25D8">
              <w:t>katla automātikas darbības pārbaude;</w:t>
            </w:r>
          </w:p>
          <w:p w:rsidR="0057729D" w:rsidRPr="008A25D8" w:rsidRDefault="0057729D" w:rsidP="0057729D">
            <w:pPr>
              <w:numPr>
                <w:ilvl w:val="0"/>
                <w:numId w:val="1"/>
              </w:numPr>
            </w:pPr>
            <w:r w:rsidRPr="008A25D8">
              <w:t>automātiskās regulēšanas iekārtas pārbaude.</w:t>
            </w:r>
          </w:p>
          <w:p w:rsidR="0057729D" w:rsidRPr="008A25D8" w:rsidRDefault="0057729D" w:rsidP="00230F2F">
            <w:r w:rsidRPr="008A25D8">
              <w:t>Iekšējā gāzes vada apkalpošana (ārēja apskate, hermētiskuma pārbaude un noplūdes novēršana)</w:t>
            </w:r>
          </w:p>
        </w:tc>
        <w:tc>
          <w:tcPr>
            <w:tcW w:w="1378" w:type="dxa"/>
            <w:shd w:val="clear" w:color="auto" w:fill="auto"/>
          </w:tcPr>
          <w:p w:rsidR="0057729D" w:rsidRPr="008A25D8" w:rsidRDefault="0057729D" w:rsidP="00230F2F"/>
        </w:tc>
        <w:tc>
          <w:tcPr>
            <w:tcW w:w="1344" w:type="dxa"/>
            <w:vAlign w:val="center"/>
          </w:tcPr>
          <w:p w:rsidR="0057729D" w:rsidRPr="008A25D8" w:rsidRDefault="0057729D" w:rsidP="00230F2F">
            <w:pPr>
              <w:jc w:val="center"/>
            </w:pPr>
            <w:r>
              <w:t>12</w:t>
            </w:r>
          </w:p>
        </w:tc>
        <w:tc>
          <w:tcPr>
            <w:tcW w:w="1344" w:type="dxa"/>
            <w:vAlign w:val="center"/>
          </w:tcPr>
          <w:p w:rsidR="0057729D" w:rsidRPr="008A25D8" w:rsidRDefault="0057729D" w:rsidP="00230F2F">
            <w:pPr>
              <w:jc w:val="center"/>
            </w:pPr>
          </w:p>
        </w:tc>
      </w:tr>
      <w:tr w:rsidR="0057729D" w:rsidRPr="008A25D8" w:rsidTr="00230F2F">
        <w:tc>
          <w:tcPr>
            <w:tcW w:w="1908" w:type="dxa"/>
            <w:shd w:val="clear" w:color="auto" w:fill="auto"/>
            <w:vAlign w:val="center"/>
          </w:tcPr>
          <w:p w:rsidR="0057729D" w:rsidRPr="008A25D8" w:rsidRDefault="0057729D" w:rsidP="00230F2F">
            <w:r w:rsidRPr="008A25D8">
              <w:t>1 reizi 3 mēnešos</w:t>
            </w:r>
          </w:p>
          <w:p w:rsidR="0057729D" w:rsidRPr="008A25D8" w:rsidRDefault="0057729D" w:rsidP="00230F2F">
            <w:r w:rsidRPr="008A25D8">
              <w:t xml:space="preserve">(Darbi B) </w:t>
            </w:r>
          </w:p>
        </w:tc>
        <w:tc>
          <w:tcPr>
            <w:tcW w:w="3772" w:type="dxa"/>
            <w:shd w:val="clear" w:color="auto" w:fill="auto"/>
          </w:tcPr>
          <w:p w:rsidR="0057729D" w:rsidRDefault="0057729D" w:rsidP="00230F2F">
            <w:r w:rsidRPr="008A25D8">
              <w:t>Darbi A</w:t>
            </w:r>
          </w:p>
          <w:p w:rsidR="0057729D" w:rsidRPr="002B584E" w:rsidRDefault="0057729D" w:rsidP="00230F2F">
            <w:pPr>
              <w:rPr>
                <w:bCs/>
              </w:rPr>
            </w:pPr>
            <w:r w:rsidRPr="002B584E">
              <w:rPr>
                <w:bCs/>
              </w:rPr>
              <w:t>Apkures katli:</w:t>
            </w:r>
          </w:p>
          <w:p w:rsidR="0057729D" w:rsidRPr="001D3A71" w:rsidRDefault="0057729D" w:rsidP="00230F2F">
            <w:r w:rsidRPr="001D3A71">
              <w:t>Cauruļvadu stāvoklis</w:t>
            </w:r>
            <w:r>
              <w:t xml:space="preserve">. </w:t>
            </w:r>
            <w:r w:rsidRPr="001D3A71">
              <w:t>Apskate</w:t>
            </w:r>
          </w:p>
          <w:p w:rsidR="0057729D" w:rsidRPr="001D3A71" w:rsidRDefault="0057729D" w:rsidP="00230F2F">
            <w:r w:rsidRPr="001D3A71">
              <w:t>Noslēgvārstu stāvoklis</w:t>
            </w:r>
            <w:r>
              <w:t xml:space="preserve">. </w:t>
            </w:r>
            <w:r w:rsidRPr="001D3A71">
              <w:t>Apskate</w:t>
            </w:r>
          </w:p>
          <w:p w:rsidR="0057729D" w:rsidRPr="001D3A71" w:rsidRDefault="0057729D" w:rsidP="00230F2F">
            <w:r w:rsidRPr="001D3A71">
              <w:t>Cirkulācijas sūknis</w:t>
            </w:r>
            <w:r>
              <w:t xml:space="preserve">. </w:t>
            </w:r>
            <w:r w:rsidRPr="001D3A71">
              <w:t>Apskate</w:t>
            </w:r>
          </w:p>
          <w:p w:rsidR="0057729D" w:rsidRPr="001D3A71" w:rsidRDefault="0057729D" w:rsidP="00230F2F">
            <w:r w:rsidRPr="001D3A71">
              <w:t>Trejgaitu vārsts</w:t>
            </w:r>
            <w:r>
              <w:t xml:space="preserve">. </w:t>
            </w:r>
            <w:r w:rsidRPr="001D3A71">
              <w:t>Apskate</w:t>
            </w:r>
          </w:p>
          <w:p w:rsidR="0057729D" w:rsidRPr="001D3A71" w:rsidRDefault="0057729D" w:rsidP="00230F2F">
            <w:r w:rsidRPr="001D3A71">
              <w:t>Trejgaitu vārsta piedziņa</w:t>
            </w:r>
            <w:r>
              <w:t xml:space="preserve">. </w:t>
            </w:r>
            <w:r w:rsidRPr="001D3A71">
              <w:t>Apskate</w:t>
            </w:r>
          </w:p>
          <w:p w:rsidR="0057729D" w:rsidRPr="001D3A71" w:rsidRDefault="0057729D" w:rsidP="00230F2F">
            <w:r w:rsidRPr="001D3A71">
              <w:t>Filtrs</w:t>
            </w:r>
            <w:r>
              <w:t xml:space="preserve">. </w:t>
            </w:r>
            <w:r w:rsidRPr="001D3A71">
              <w:t>Tīrīšana, nepieciešamības gadījumā nomaiņa.</w:t>
            </w:r>
          </w:p>
          <w:p w:rsidR="0057729D" w:rsidRPr="001D3A71" w:rsidRDefault="0057729D" w:rsidP="00230F2F">
            <w:r w:rsidRPr="001D3A71">
              <w:t>Drošības vārstu stāvoklis</w:t>
            </w:r>
            <w:r>
              <w:t xml:space="preserve">. </w:t>
            </w:r>
            <w:r w:rsidRPr="001D3A71">
              <w:t>Apskate</w:t>
            </w:r>
          </w:p>
          <w:p w:rsidR="0057729D" w:rsidRPr="001D3A71" w:rsidRDefault="0057729D" w:rsidP="00230F2F">
            <w:r w:rsidRPr="001D3A71">
              <w:t>Izplešanās tvertne</w:t>
            </w:r>
            <w:r>
              <w:t xml:space="preserve">. </w:t>
            </w:r>
            <w:r w:rsidRPr="001D3A71">
              <w:t>Apskate, spiediena pārbaude</w:t>
            </w:r>
          </w:p>
          <w:p w:rsidR="0057729D" w:rsidRPr="001D3A71" w:rsidRDefault="0057729D" w:rsidP="00230F2F">
            <w:r w:rsidRPr="001D3A71">
              <w:t>Dūmeņa sprādziena vārsta  pārbaudē.</w:t>
            </w:r>
            <w:r w:rsidRPr="001D3A71">
              <w:tab/>
              <w:t>Apskate</w:t>
            </w:r>
          </w:p>
          <w:p w:rsidR="0057729D" w:rsidRDefault="0057729D" w:rsidP="00230F2F">
            <w:r>
              <w:t>Degli:</w:t>
            </w:r>
          </w:p>
          <w:p w:rsidR="0057729D" w:rsidRPr="001D3A71" w:rsidRDefault="0057729D" w:rsidP="00230F2F">
            <w:r w:rsidRPr="001D3A71">
              <w:t>Degļa ventilators</w:t>
            </w:r>
            <w:r>
              <w:t xml:space="preserve">. </w:t>
            </w:r>
            <w:r w:rsidRPr="001D3A71">
              <w:t>Pārbaude</w:t>
            </w:r>
          </w:p>
          <w:p w:rsidR="0057729D" w:rsidRPr="001D3A71" w:rsidRDefault="0057729D" w:rsidP="00230F2F">
            <w:r w:rsidRPr="001D3A71">
              <w:t>Savienojums ar katlu</w:t>
            </w:r>
            <w:r>
              <w:t xml:space="preserve">. </w:t>
            </w:r>
            <w:r w:rsidRPr="001D3A71">
              <w:t>Pārbaude</w:t>
            </w:r>
          </w:p>
          <w:p w:rsidR="0057729D" w:rsidRPr="001D3A71" w:rsidRDefault="0057729D" w:rsidP="00230F2F">
            <w:r w:rsidRPr="001D3A71">
              <w:t>Jaudas regulatora piedziņa</w:t>
            </w:r>
            <w:r>
              <w:t xml:space="preserve">. </w:t>
            </w:r>
            <w:r w:rsidRPr="001D3A71">
              <w:t>Apskate, pārbaude</w:t>
            </w:r>
          </w:p>
          <w:p w:rsidR="0057729D" w:rsidRPr="001D3A71" w:rsidRDefault="0057729D" w:rsidP="00230F2F">
            <w:r w:rsidRPr="001D3A71">
              <w:t>Gāzes pievada cauruļvadi un savienojumi</w:t>
            </w:r>
            <w:r>
              <w:t xml:space="preserve">. </w:t>
            </w:r>
            <w:r w:rsidRPr="001D3A71">
              <w:t>Pārbaude ar indikatoru</w:t>
            </w:r>
          </w:p>
          <w:p w:rsidR="0057729D" w:rsidRDefault="0057729D" w:rsidP="00230F2F">
            <w:r w:rsidRPr="001D3A71">
              <w:t>Gāzes vārsts</w:t>
            </w:r>
            <w:r>
              <w:t xml:space="preserve">. </w:t>
            </w:r>
            <w:r w:rsidRPr="001D3A71">
              <w:t>Apskate, pārbaude</w:t>
            </w:r>
          </w:p>
          <w:p w:rsidR="0057729D" w:rsidRDefault="0057729D" w:rsidP="00230F2F">
            <w:r w:rsidRPr="001D3A71">
              <w:t>Gāzes regulators</w:t>
            </w:r>
            <w:r>
              <w:t xml:space="preserve">. </w:t>
            </w:r>
            <w:r w:rsidRPr="001D3A71">
              <w:t>Apskate, pārbaude</w:t>
            </w:r>
          </w:p>
          <w:p w:rsidR="0057729D" w:rsidRDefault="0057729D" w:rsidP="00230F2F">
            <w:r w:rsidRPr="001D3A71">
              <w:t>Kustīgās komponentes</w:t>
            </w:r>
            <w:r>
              <w:t xml:space="preserve">. </w:t>
            </w:r>
            <w:r w:rsidRPr="001D3A71">
              <w:t>Eļļošana</w:t>
            </w:r>
          </w:p>
          <w:p w:rsidR="0057729D" w:rsidRDefault="0057729D" w:rsidP="00230F2F">
            <w:r w:rsidRPr="001D3A71">
              <w:t>Citas iekārtas</w:t>
            </w:r>
            <w:r>
              <w:t>:</w:t>
            </w:r>
          </w:p>
          <w:p w:rsidR="0057729D" w:rsidRPr="001D3A71" w:rsidRDefault="0057729D" w:rsidP="00230F2F">
            <w:r w:rsidRPr="001D3A71">
              <w:t>Piebarošanas ūdens tvertne</w:t>
            </w:r>
            <w:r>
              <w:t xml:space="preserve">. </w:t>
            </w:r>
            <w:r w:rsidRPr="001D3A71">
              <w:t>Apskate</w:t>
            </w:r>
          </w:p>
          <w:p w:rsidR="0057729D" w:rsidRPr="001D3A71" w:rsidRDefault="0057729D" w:rsidP="00230F2F">
            <w:r w:rsidRPr="001D3A71">
              <w:t>Piebarošanas sūkņi</w:t>
            </w:r>
            <w:r>
              <w:t xml:space="preserve">. </w:t>
            </w:r>
            <w:r w:rsidRPr="001D3A71">
              <w:t>Apskate</w:t>
            </w:r>
          </w:p>
          <w:p w:rsidR="0057729D" w:rsidRPr="001D3A71" w:rsidRDefault="0057729D" w:rsidP="00230F2F">
            <w:r w:rsidRPr="001D3A71">
              <w:t>Ūdens mīkstināšanas iekārta</w:t>
            </w:r>
            <w:r>
              <w:t xml:space="preserve">. </w:t>
            </w:r>
            <w:r w:rsidRPr="001D3A71">
              <w:t>Apskate</w:t>
            </w:r>
          </w:p>
          <w:p w:rsidR="0057729D" w:rsidRPr="001D3A71" w:rsidRDefault="0057729D" w:rsidP="00230F2F">
            <w:r w:rsidRPr="001D3A71">
              <w:t>Ūdens filtrs</w:t>
            </w:r>
            <w:r>
              <w:t xml:space="preserve">. </w:t>
            </w:r>
            <w:r w:rsidRPr="001D3A71">
              <w:t>Tīrīšana, nepieciešamības gadījumā nomaiņa</w:t>
            </w:r>
          </w:p>
          <w:p w:rsidR="0057729D" w:rsidRPr="001D3A71" w:rsidRDefault="0057729D" w:rsidP="00230F2F">
            <w:r w:rsidRPr="001D3A71">
              <w:t>Piebarošanas ūdens tvertne</w:t>
            </w:r>
            <w:r>
              <w:t xml:space="preserve">. </w:t>
            </w:r>
            <w:r w:rsidRPr="001D3A71">
              <w:t>Apskate</w:t>
            </w:r>
          </w:p>
          <w:p w:rsidR="0057729D" w:rsidRDefault="0057729D" w:rsidP="00230F2F">
            <w:r w:rsidRPr="001D3A71">
              <w:t>Līmeņa devēji</w:t>
            </w:r>
            <w:r>
              <w:t xml:space="preserve">. </w:t>
            </w:r>
            <w:r w:rsidRPr="001D3A71">
              <w:t>Pārbaude</w:t>
            </w:r>
          </w:p>
          <w:p w:rsidR="0057729D" w:rsidRPr="001D3A71" w:rsidRDefault="0057729D" w:rsidP="00230F2F">
            <w:r w:rsidRPr="001D3A71">
              <w:t>Trases sūkņi</w:t>
            </w:r>
            <w:r>
              <w:t xml:space="preserve">. </w:t>
            </w:r>
            <w:r w:rsidRPr="001D3A71">
              <w:t>Apskate</w:t>
            </w:r>
          </w:p>
          <w:p w:rsidR="0057729D" w:rsidRPr="001D3A71" w:rsidRDefault="0057729D" w:rsidP="00230F2F">
            <w:r w:rsidRPr="001D3A71">
              <w:t>Gāzes noplūdes detektors</w:t>
            </w:r>
            <w:r>
              <w:t xml:space="preserve">. </w:t>
            </w:r>
            <w:r w:rsidRPr="001D3A71">
              <w:t>Pārbaude</w:t>
            </w:r>
          </w:p>
          <w:p w:rsidR="0057729D" w:rsidRDefault="0057729D" w:rsidP="00230F2F">
            <w:r w:rsidRPr="001D3A71">
              <w:t>Elektromagnētiskais gāzes vārsts</w:t>
            </w:r>
            <w:r>
              <w:t xml:space="preserve">. </w:t>
            </w:r>
            <w:r w:rsidRPr="001D3A71">
              <w:t>Pārbaude</w:t>
            </w:r>
          </w:p>
          <w:p w:rsidR="0057729D" w:rsidRDefault="0057729D" w:rsidP="00230F2F">
            <w:r w:rsidRPr="001D3A71">
              <w:t>Funkcionāla kontrole</w:t>
            </w:r>
            <w:r>
              <w:t xml:space="preserve">: </w:t>
            </w:r>
          </w:p>
          <w:p w:rsidR="0057729D" w:rsidRPr="008A25D8" w:rsidRDefault="0057729D" w:rsidP="00230F2F">
            <w:r w:rsidRPr="00CC5D92">
              <w:t>Automātikas funkcionēšanas</w:t>
            </w:r>
            <w:r>
              <w:t xml:space="preserve">. </w:t>
            </w:r>
            <w:r w:rsidRPr="00CC5D92">
              <w:t>Pārbaude atbilstoši instrukcijām</w:t>
            </w:r>
            <w:r>
              <w:t>.</w:t>
            </w:r>
          </w:p>
        </w:tc>
        <w:tc>
          <w:tcPr>
            <w:tcW w:w="1378" w:type="dxa"/>
            <w:shd w:val="clear" w:color="auto" w:fill="auto"/>
          </w:tcPr>
          <w:p w:rsidR="0057729D" w:rsidRPr="008A25D8" w:rsidRDefault="0057729D" w:rsidP="00230F2F"/>
        </w:tc>
        <w:tc>
          <w:tcPr>
            <w:tcW w:w="1344" w:type="dxa"/>
            <w:vAlign w:val="center"/>
          </w:tcPr>
          <w:p w:rsidR="0057729D" w:rsidRPr="008A25D8" w:rsidRDefault="0057729D" w:rsidP="00230F2F">
            <w:pPr>
              <w:jc w:val="center"/>
            </w:pPr>
            <w:r>
              <w:t>4</w:t>
            </w:r>
          </w:p>
        </w:tc>
        <w:tc>
          <w:tcPr>
            <w:tcW w:w="1344" w:type="dxa"/>
            <w:vAlign w:val="center"/>
          </w:tcPr>
          <w:p w:rsidR="0057729D" w:rsidRPr="008A25D8" w:rsidRDefault="0057729D" w:rsidP="00230F2F">
            <w:pPr>
              <w:jc w:val="center"/>
            </w:pPr>
          </w:p>
        </w:tc>
      </w:tr>
      <w:tr w:rsidR="0057729D" w:rsidRPr="008A25D8" w:rsidTr="00230F2F">
        <w:tc>
          <w:tcPr>
            <w:tcW w:w="1908" w:type="dxa"/>
            <w:shd w:val="clear" w:color="auto" w:fill="auto"/>
            <w:vAlign w:val="center"/>
          </w:tcPr>
          <w:p w:rsidR="0057729D" w:rsidRPr="008A25D8" w:rsidRDefault="0057729D" w:rsidP="00230F2F">
            <w:r w:rsidRPr="008A25D8">
              <w:t>1 reizi pusgadā</w:t>
            </w:r>
          </w:p>
          <w:p w:rsidR="0057729D" w:rsidRPr="008A25D8" w:rsidRDefault="0057729D" w:rsidP="00230F2F">
            <w:r w:rsidRPr="008A25D8">
              <w:t>(Darbi C)</w:t>
            </w:r>
          </w:p>
        </w:tc>
        <w:tc>
          <w:tcPr>
            <w:tcW w:w="3772" w:type="dxa"/>
            <w:shd w:val="clear" w:color="auto" w:fill="auto"/>
          </w:tcPr>
          <w:p w:rsidR="0057729D" w:rsidRPr="008A25D8" w:rsidRDefault="0057729D" w:rsidP="00230F2F">
            <w:r w:rsidRPr="008A25D8">
              <w:t>Darbi A</w:t>
            </w:r>
          </w:p>
          <w:p w:rsidR="0057729D" w:rsidRDefault="0057729D" w:rsidP="00230F2F">
            <w:r w:rsidRPr="008A25D8">
              <w:t>Darbi B</w:t>
            </w:r>
          </w:p>
          <w:p w:rsidR="0057729D" w:rsidRPr="002B584E" w:rsidRDefault="0057729D" w:rsidP="00230F2F">
            <w:pPr>
              <w:rPr>
                <w:b/>
                <w:bCs/>
              </w:rPr>
            </w:pPr>
            <w:r w:rsidRPr="002B584E">
              <w:rPr>
                <w:b/>
                <w:bCs/>
              </w:rPr>
              <w:t>Apkures katli:</w:t>
            </w:r>
          </w:p>
          <w:p w:rsidR="0057729D" w:rsidRPr="001438E8" w:rsidRDefault="0057729D" w:rsidP="00230F2F">
            <w:r w:rsidRPr="001438E8">
              <w:t>Katlu mājas siltumtehnisko iekārtu un cauruļvadu hidrauliskā pārbaude ar spiedienu, kas tuvs drošības vārsta spiedienam-6 bari</w:t>
            </w:r>
            <w:r>
              <w:t xml:space="preserve">. </w:t>
            </w:r>
            <w:r w:rsidRPr="001438E8">
              <w:t>Apskate, spiediena pārbaude</w:t>
            </w:r>
          </w:p>
          <w:p w:rsidR="0057729D" w:rsidRPr="008A25D8" w:rsidRDefault="0057729D" w:rsidP="00230F2F">
            <w:r w:rsidRPr="001438E8">
              <w:t>Izplešanās trauku iztukšošana un nepieciešamā gaisa spiediena pārbaude Pd-1,5bar</w:t>
            </w:r>
            <w:r>
              <w:t xml:space="preserve">. </w:t>
            </w:r>
            <w:r w:rsidRPr="001438E8">
              <w:t>Apskate, spiediena pārbaude</w:t>
            </w:r>
          </w:p>
          <w:p w:rsidR="0057729D" w:rsidRDefault="0057729D" w:rsidP="00230F2F">
            <w:r w:rsidRPr="001438E8">
              <w:t>Filtru pilna revizija, pārbaudot un iztīrotgružu uztveršanas sietu</w:t>
            </w:r>
            <w:r>
              <w:t xml:space="preserve">. </w:t>
            </w:r>
            <w:r w:rsidRPr="001438E8">
              <w:t>apskate</w:t>
            </w:r>
          </w:p>
          <w:p w:rsidR="0057729D" w:rsidRDefault="0057729D" w:rsidP="00230F2F">
            <w:r w:rsidRPr="001438E8">
              <w:t>Deaeratora iekārta</w:t>
            </w:r>
            <w:r>
              <w:t xml:space="preserve">. </w:t>
            </w:r>
            <w:r w:rsidRPr="001438E8">
              <w:t>Pārbaude, nepieciešamības gadījumā regulēšana</w:t>
            </w:r>
          </w:p>
          <w:p w:rsidR="0057729D" w:rsidRPr="008A25D8" w:rsidRDefault="0057729D" w:rsidP="00230F2F">
            <w:r w:rsidRPr="00C04B2D">
              <w:t>Spiediena paaugstināšanas iekārta</w:t>
            </w:r>
            <w:r>
              <w:t xml:space="preserve">. </w:t>
            </w:r>
            <w:r w:rsidRPr="00C04B2D">
              <w:t>Pārbaude</w:t>
            </w:r>
          </w:p>
        </w:tc>
        <w:tc>
          <w:tcPr>
            <w:tcW w:w="1378" w:type="dxa"/>
            <w:shd w:val="clear" w:color="auto" w:fill="auto"/>
          </w:tcPr>
          <w:p w:rsidR="0057729D" w:rsidRPr="008A25D8" w:rsidRDefault="0057729D" w:rsidP="00230F2F"/>
        </w:tc>
        <w:tc>
          <w:tcPr>
            <w:tcW w:w="1344" w:type="dxa"/>
            <w:vAlign w:val="center"/>
          </w:tcPr>
          <w:p w:rsidR="0057729D" w:rsidRPr="008A25D8" w:rsidRDefault="0057729D" w:rsidP="00230F2F">
            <w:pPr>
              <w:jc w:val="center"/>
            </w:pPr>
            <w:r>
              <w:t>2</w:t>
            </w:r>
          </w:p>
        </w:tc>
        <w:tc>
          <w:tcPr>
            <w:tcW w:w="1344" w:type="dxa"/>
            <w:vAlign w:val="center"/>
          </w:tcPr>
          <w:p w:rsidR="0057729D" w:rsidRPr="008A25D8" w:rsidRDefault="0057729D" w:rsidP="00230F2F">
            <w:pPr>
              <w:jc w:val="center"/>
            </w:pPr>
          </w:p>
        </w:tc>
      </w:tr>
      <w:tr w:rsidR="0057729D" w:rsidRPr="008A25D8" w:rsidTr="00230F2F">
        <w:tc>
          <w:tcPr>
            <w:tcW w:w="1908" w:type="dxa"/>
            <w:shd w:val="clear" w:color="auto" w:fill="auto"/>
            <w:vAlign w:val="center"/>
          </w:tcPr>
          <w:p w:rsidR="0057729D" w:rsidRPr="008A25D8" w:rsidRDefault="0057729D" w:rsidP="00230F2F">
            <w:r w:rsidRPr="008A25D8">
              <w:t>1 reizi gadā pēc apkures sezonas beigām</w:t>
            </w:r>
          </w:p>
        </w:tc>
        <w:tc>
          <w:tcPr>
            <w:tcW w:w="3772" w:type="dxa"/>
            <w:shd w:val="clear" w:color="auto" w:fill="auto"/>
          </w:tcPr>
          <w:p w:rsidR="0057729D" w:rsidRPr="008A25D8" w:rsidRDefault="0057729D" w:rsidP="00230F2F">
            <w:r w:rsidRPr="008A25D8">
              <w:t>Siltummaiņas iekārtas tehniskā stāvokļa un hermētiskuma pārbaude;</w:t>
            </w:r>
          </w:p>
          <w:p w:rsidR="0057729D" w:rsidRPr="00C04B2D" w:rsidRDefault="0057729D" w:rsidP="00230F2F">
            <w:r w:rsidRPr="008A25D8">
              <w:t xml:space="preserve">katlu </w:t>
            </w:r>
            <w:r w:rsidRPr="00C04B2D">
              <w:t xml:space="preserve">Degšanas procesa kontrole ar speciālu mēraparatūru, CO2,02 Mērīšana </w:t>
            </w:r>
          </w:p>
          <w:p w:rsidR="0057729D" w:rsidRPr="00C04B2D" w:rsidRDefault="0057729D" w:rsidP="00230F2F">
            <w:r w:rsidRPr="00C04B2D">
              <w:t>Degļu ieregulēšana pēc dūmgāžu analizātora rādījumiem</w:t>
            </w:r>
            <w:r>
              <w:t xml:space="preserve">. </w:t>
            </w:r>
            <w:r w:rsidRPr="00C04B2D">
              <w:t xml:space="preserve">Ieregulēšana </w:t>
            </w:r>
          </w:p>
          <w:p w:rsidR="0057729D" w:rsidRPr="008A25D8" w:rsidRDefault="0057729D" w:rsidP="00230F2F">
            <w:r w:rsidRPr="00C04B2D">
              <w:t>Gāzes</w:t>
            </w:r>
            <w:r>
              <w:t xml:space="preserve"> regulatora punkta (GRP) apkope. </w:t>
            </w:r>
            <w:r w:rsidRPr="00C04B2D">
              <w:t>Pārbaude atbilstoši instrukcijām</w:t>
            </w:r>
            <w:r w:rsidRPr="008A25D8">
              <w:t>tīrīšana.</w:t>
            </w:r>
          </w:p>
        </w:tc>
        <w:tc>
          <w:tcPr>
            <w:tcW w:w="1378" w:type="dxa"/>
            <w:shd w:val="clear" w:color="auto" w:fill="auto"/>
          </w:tcPr>
          <w:p w:rsidR="0057729D" w:rsidRPr="008A25D8" w:rsidRDefault="0057729D" w:rsidP="00230F2F"/>
        </w:tc>
        <w:tc>
          <w:tcPr>
            <w:tcW w:w="1344" w:type="dxa"/>
            <w:vAlign w:val="center"/>
          </w:tcPr>
          <w:p w:rsidR="0057729D" w:rsidRPr="008A25D8" w:rsidRDefault="0057729D" w:rsidP="00230F2F">
            <w:pPr>
              <w:jc w:val="center"/>
            </w:pPr>
            <w:r>
              <w:t>1</w:t>
            </w:r>
          </w:p>
        </w:tc>
        <w:tc>
          <w:tcPr>
            <w:tcW w:w="1344" w:type="dxa"/>
            <w:vAlign w:val="center"/>
          </w:tcPr>
          <w:p w:rsidR="0057729D" w:rsidRPr="008A25D8" w:rsidRDefault="0057729D" w:rsidP="00230F2F">
            <w:pPr>
              <w:jc w:val="center"/>
            </w:pPr>
          </w:p>
        </w:tc>
      </w:tr>
      <w:tr w:rsidR="0057729D" w:rsidRPr="008A25D8" w:rsidTr="00230F2F">
        <w:tc>
          <w:tcPr>
            <w:tcW w:w="1908" w:type="dxa"/>
            <w:shd w:val="clear" w:color="auto" w:fill="auto"/>
            <w:vAlign w:val="center"/>
          </w:tcPr>
          <w:p w:rsidR="0057729D" w:rsidRPr="008A25D8" w:rsidRDefault="0057729D" w:rsidP="00230F2F">
            <w:r w:rsidRPr="008A25D8">
              <w:t>1 reizi gadā pirms apkures sezonas uzsākšanas</w:t>
            </w:r>
          </w:p>
        </w:tc>
        <w:tc>
          <w:tcPr>
            <w:tcW w:w="3772" w:type="dxa"/>
            <w:shd w:val="clear" w:color="auto" w:fill="auto"/>
          </w:tcPr>
          <w:p w:rsidR="0057729D" w:rsidRPr="00C04B2D" w:rsidRDefault="0057729D" w:rsidP="00230F2F">
            <w:r w:rsidRPr="00C04B2D">
              <w:t>Gāzes filtrs</w:t>
            </w:r>
            <w:r>
              <w:t xml:space="preserve">. </w:t>
            </w:r>
            <w:r w:rsidRPr="00C04B2D">
              <w:t>Tīrīšana, nepieciešamības gadījumā nomaiņa.</w:t>
            </w:r>
          </w:p>
          <w:p w:rsidR="0057729D" w:rsidRPr="00C04B2D" w:rsidRDefault="0057729D" w:rsidP="00230F2F">
            <w:r w:rsidRPr="00C04B2D">
              <w:t>Manometru rādījumi</w:t>
            </w:r>
            <w:r>
              <w:t xml:space="preserve">. </w:t>
            </w:r>
            <w:r w:rsidRPr="00C04B2D">
              <w:t>Pārbaude</w:t>
            </w:r>
          </w:p>
          <w:p w:rsidR="0057729D" w:rsidRPr="00C04B2D" w:rsidRDefault="0057729D" w:rsidP="00230F2F">
            <w:r w:rsidRPr="00C04B2D">
              <w:t>Aizdedzes elektrodi</w:t>
            </w:r>
            <w:r>
              <w:t xml:space="preserve">. </w:t>
            </w:r>
            <w:r w:rsidRPr="00C04B2D">
              <w:t>Apskate, nepieciešamības gadījumā tīrīšana.</w:t>
            </w:r>
          </w:p>
          <w:p w:rsidR="0057729D" w:rsidRPr="00C04B2D" w:rsidRDefault="0057729D" w:rsidP="00230F2F">
            <w:r w:rsidRPr="00C04B2D">
              <w:t>Aizdedzes kabeļi</w:t>
            </w:r>
            <w:r>
              <w:t xml:space="preserve">. </w:t>
            </w:r>
            <w:r w:rsidRPr="00C04B2D">
              <w:t>Apskate</w:t>
            </w:r>
          </w:p>
          <w:p w:rsidR="0057729D" w:rsidRPr="00C04B2D" w:rsidRDefault="0057729D" w:rsidP="00230F2F">
            <w:r w:rsidRPr="00C04B2D">
              <w:t>Sprauslas</w:t>
            </w:r>
            <w:r>
              <w:t xml:space="preserve">. </w:t>
            </w:r>
            <w:r w:rsidRPr="00C04B2D">
              <w:t>Apskate, nepieciešamības gadījumā tīrīšana.</w:t>
            </w:r>
          </w:p>
          <w:p w:rsidR="0057729D" w:rsidRPr="00C04B2D" w:rsidRDefault="0057729D" w:rsidP="00230F2F">
            <w:r w:rsidRPr="00C04B2D">
              <w:t>Liesmas atbalsta plāksne</w:t>
            </w:r>
            <w:r>
              <w:t xml:space="preserve">. </w:t>
            </w:r>
            <w:r w:rsidRPr="00C04B2D">
              <w:t>Apskate, nepieciešamības gadījumā tīrīšana.</w:t>
            </w:r>
          </w:p>
          <w:p w:rsidR="0057729D" w:rsidRDefault="0057729D" w:rsidP="00230F2F">
            <w:r w:rsidRPr="00C04B2D">
              <w:t>Darbības pārbaude pie dažādiem režīmiem</w:t>
            </w:r>
            <w:r>
              <w:t xml:space="preserve">. </w:t>
            </w:r>
            <w:r w:rsidRPr="00C04B2D">
              <w:t>Režīmkartes sastādīšana</w:t>
            </w:r>
          </w:p>
          <w:p w:rsidR="0057729D" w:rsidRPr="00C04B2D" w:rsidRDefault="0057729D" w:rsidP="00230F2F">
            <w:r w:rsidRPr="00C04B2D">
              <w:t xml:space="preserve">Degšanas procesa kontrole ar speciālu mēraparatūru, CO2,02 Mērīšana </w:t>
            </w:r>
          </w:p>
          <w:p w:rsidR="0057729D" w:rsidRDefault="0057729D" w:rsidP="00230F2F">
            <w:r w:rsidRPr="00C04B2D">
              <w:t>Degļu ieregulēšana pēc dūmgāžu analizātora rādījumiem</w:t>
            </w:r>
          </w:p>
          <w:p w:rsidR="0057729D" w:rsidRPr="00C04B2D" w:rsidRDefault="0057729D" w:rsidP="00230F2F">
            <w:r w:rsidRPr="00C04B2D">
              <w:t xml:space="preserve">Ieregulēšana </w:t>
            </w:r>
          </w:p>
          <w:p w:rsidR="0057729D" w:rsidRPr="008A25D8" w:rsidRDefault="0057729D" w:rsidP="00230F2F">
            <w:r w:rsidRPr="00C04B2D">
              <w:t>Gāzes regulatora punkta (GRP) apkope Pārbaude atbilstoši instrukcijām</w:t>
            </w:r>
          </w:p>
        </w:tc>
        <w:tc>
          <w:tcPr>
            <w:tcW w:w="1378" w:type="dxa"/>
            <w:shd w:val="clear" w:color="auto" w:fill="auto"/>
          </w:tcPr>
          <w:p w:rsidR="0057729D" w:rsidRPr="008A25D8" w:rsidRDefault="0057729D" w:rsidP="00230F2F"/>
        </w:tc>
        <w:tc>
          <w:tcPr>
            <w:tcW w:w="1344" w:type="dxa"/>
            <w:vAlign w:val="center"/>
          </w:tcPr>
          <w:p w:rsidR="0057729D" w:rsidRPr="008A25D8" w:rsidRDefault="0057729D" w:rsidP="00230F2F">
            <w:pPr>
              <w:jc w:val="center"/>
            </w:pPr>
            <w:r>
              <w:t>1</w:t>
            </w:r>
          </w:p>
        </w:tc>
        <w:tc>
          <w:tcPr>
            <w:tcW w:w="1344" w:type="dxa"/>
            <w:vAlign w:val="center"/>
          </w:tcPr>
          <w:p w:rsidR="0057729D" w:rsidRPr="008A25D8" w:rsidRDefault="0057729D" w:rsidP="00230F2F">
            <w:pPr>
              <w:jc w:val="center"/>
            </w:pPr>
          </w:p>
        </w:tc>
      </w:tr>
      <w:tr w:rsidR="0057729D" w:rsidRPr="008A25D8" w:rsidTr="00230F2F">
        <w:tc>
          <w:tcPr>
            <w:tcW w:w="1908" w:type="dxa"/>
            <w:shd w:val="clear" w:color="auto" w:fill="auto"/>
            <w:vAlign w:val="center"/>
          </w:tcPr>
          <w:p w:rsidR="0057729D" w:rsidRPr="0057729D" w:rsidRDefault="0057729D" w:rsidP="0057729D">
            <w:pPr>
              <w:rPr>
                <w:rFonts w:eastAsia="Calibri"/>
                <w:color w:val="FF0000"/>
              </w:rPr>
            </w:pPr>
            <w:r w:rsidRPr="0057729D">
              <w:rPr>
                <w:rFonts w:eastAsia="Calibri"/>
                <w:color w:val="FF0000"/>
              </w:rPr>
              <w:t>1 reizi gadā pirms apkures sezonas uzsākšanas</w:t>
            </w:r>
          </w:p>
        </w:tc>
        <w:tc>
          <w:tcPr>
            <w:tcW w:w="3772" w:type="dxa"/>
            <w:shd w:val="clear" w:color="auto" w:fill="auto"/>
          </w:tcPr>
          <w:p w:rsidR="0057729D" w:rsidRPr="0057729D" w:rsidRDefault="0057729D" w:rsidP="0057729D">
            <w:pPr>
              <w:rPr>
                <w:rFonts w:eastAsia="Calibri"/>
                <w:color w:val="FF0000"/>
              </w:rPr>
            </w:pPr>
            <w:r w:rsidRPr="0057729D">
              <w:rPr>
                <w:rFonts w:eastAsia="Calibri"/>
                <w:color w:val="FF0000"/>
              </w:rPr>
              <w:t>Dūmeņu ārēja apskate, dūmeņa un dūmvadu tīrīšanā un vilkmes pārbaude.</w:t>
            </w:r>
          </w:p>
        </w:tc>
        <w:tc>
          <w:tcPr>
            <w:tcW w:w="1378" w:type="dxa"/>
            <w:shd w:val="clear" w:color="auto" w:fill="auto"/>
          </w:tcPr>
          <w:p w:rsidR="0057729D" w:rsidRPr="0057729D" w:rsidRDefault="0057729D" w:rsidP="0057729D">
            <w:pPr>
              <w:rPr>
                <w:rFonts w:eastAsia="Calibri"/>
                <w:color w:val="FF0000"/>
              </w:rPr>
            </w:pPr>
          </w:p>
        </w:tc>
        <w:tc>
          <w:tcPr>
            <w:tcW w:w="1344" w:type="dxa"/>
            <w:vAlign w:val="center"/>
          </w:tcPr>
          <w:p w:rsidR="0057729D" w:rsidRPr="0057729D" w:rsidRDefault="0057729D" w:rsidP="0057729D">
            <w:pPr>
              <w:jc w:val="center"/>
              <w:rPr>
                <w:rFonts w:eastAsia="Calibri"/>
                <w:color w:val="FF0000"/>
              </w:rPr>
            </w:pPr>
            <w:r w:rsidRPr="0057729D">
              <w:rPr>
                <w:rFonts w:eastAsia="Calibri"/>
                <w:color w:val="FF0000"/>
              </w:rPr>
              <w:t>1</w:t>
            </w:r>
          </w:p>
        </w:tc>
        <w:tc>
          <w:tcPr>
            <w:tcW w:w="1344" w:type="dxa"/>
            <w:vAlign w:val="center"/>
          </w:tcPr>
          <w:p w:rsidR="0057729D" w:rsidRPr="008A25D8" w:rsidRDefault="0057729D" w:rsidP="0057729D">
            <w:pPr>
              <w:jc w:val="center"/>
            </w:pPr>
          </w:p>
        </w:tc>
      </w:tr>
      <w:tr w:rsidR="0057729D" w:rsidRPr="008A25D8" w:rsidTr="00230F2F">
        <w:tc>
          <w:tcPr>
            <w:tcW w:w="8402" w:type="dxa"/>
            <w:gridSpan w:val="4"/>
            <w:shd w:val="clear" w:color="auto" w:fill="auto"/>
          </w:tcPr>
          <w:p w:rsidR="0057729D" w:rsidRDefault="0057729D" w:rsidP="00230F2F">
            <w:pPr>
              <w:jc w:val="right"/>
            </w:pPr>
            <w:r>
              <w:t>Pakalpojuma (apkalpošanas) kopējā cena gadā (bez PVN)* :</w:t>
            </w:r>
          </w:p>
        </w:tc>
        <w:tc>
          <w:tcPr>
            <w:tcW w:w="1344" w:type="dxa"/>
          </w:tcPr>
          <w:p w:rsidR="0057729D" w:rsidRPr="008A25D8" w:rsidRDefault="0057729D" w:rsidP="00230F2F"/>
        </w:tc>
      </w:tr>
    </w:tbl>
    <w:p w:rsidR="0057729D" w:rsidRDefault="0057729D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</w:p>
    <w:p w:rsidR="00866C0C" w:rsidRDefault="00866C0C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</w:p>
    <w:p w:rsidR="00CF7A59" w:rsidRDefault="0057729D" w:rsidP="0057729D">
      <w:pPr>
        <w:tabs>
          <w:tab w:val="left" w:pos="4680"/>
        </w:tabs>
        <w:jc w:val="both"/>
        <w:outlineLvl w:val="0"/>
        <w:rPr>
          <w:b/>
        </w:rPr>
      </w:pPr>
      <w:r w:rsidRPr="0057729D">
        <w:rPr>
          <w:b/>
        </w:rPr>
        <w:t xml:space="preserve">2. </w:t>
      </w:r>
      <w:r>
        <w:rPr>
          <w:b/>
        </w:rPr>
        <w:t>Izteikt Līguma projekta 2.3.punktu šādā redakcijā:</w:t>
      </w:r>
    </w:p>
    <w:p w:rsidR="0057729D" w:rsidRDefault="0057729D" w:rsidP="0057729D">
      <w:pPr>
        <w:tabs>
          <w:tab w:val="left" w:pos="4680"/>
        </w:tabs>
        <w:jc w:val="both"/>
        <w:outlineLvl w:val="0"/>
        <w:rPr>
          <w:b/>
        </w:rPr>
      </w:pPr>
    </w:p>
    <w:p w:rsidR="0057729D" w:rsidRPr="0057729D" w:rsidRDefault="0057729D" w:rsidP="0057729D">
      <w:pPr>
        <w:tabs>
          <w:tab w:val="left" w:pos="4680"/>
        </w:tabs>
        <w:jc w:val="both"/>
        <w:outlineLvl w:val="0"/>
      </w:pPr>
      <w:r w:rsidRPr="00E56CE9">
        <w:rPr>
          <w:rFonts w:ascii="Times New Roman BaltRim" w:hAnsi="Times New Roman BaltRim"/>
          <w:lang w:eastAsia="en-US"/>
        </w:rPr>
        <w:t>2.3.</w:t>
      </w:r>
      <w:r>
        <w:rPr>
          <w:rFonts w:ascii="Times New Roman BaltRim" w:hAnsi="Times New Roman BaltRim"/>
          <w:b/>
          <w:lang w:eastAsia="en-US"/>
        </w:rPr>
        <w:t xml:space="preserve"> </w:t>
      </w:r>
      <w:r w:rsidRPr="004260BE">
        <w:rPr>
          <w:color w:val="000000"/>
        </w:rPr>
        <w:t>Gāzes katlu mājas iekārtu tehniskā apkalpošana ieslodzījuma vietās notiek p</w:t>
      </w:r>
      <w:r>
        <w:rPr>
          <w:color w:val="000000"/>
        </w:rPr>
        <w:t xml:space="preserve">amatojoties uz LVS 445 </w:t>
      </w:r>
      <w:r w:rsidRPr="0072184F">
        <w:rPr>
          <w:color w:val="000000"/>
        </w:rPr>
        <w:t>"</w:t>
      </w:r>
      <w:r w:rsidRPr="004260BE">
        <w:rPr>
          <w:color w:val="000000"/>
        </w:rPr>
        <w:t>Dabasgāzes sadales sistēmas un lietotāja dabasgāzes apgādes sistēmas ar maksimālo darba spiedienu līdz 1,6 MPa (16 bar) e</w:t>
      </w:r>
      <w:r>
        <w:rPr>
          <w:color w:val="000000"/>
        </w:rPr>
        <w:t>kspluatācija un tehniskā apkope"</w:t>
      </w:r>
      <w:r w:rsidRPr="004260BE">
        <w:rPr>
          <w:color w:val="000000"/>
        </w:rPr>
        <w:t xml:space="preserve">, atbilstoši </w:t>
      </w:r>
      <w:r>
        <w:rPr>
          <w:color w:val="000000"/>
        </w:rPr>
        <w:t>Ministru kabineta 2015.gada 30.jūnija noteikumiem Nr.336 "</w:t>
      </w:r>
      <w:r>
        <w:t>Noteikumi par Latvijas būvnormatīvu</w:t>
      </w:r>
      <w:r w:rsidRPr="004260BE">
        <w:rPr>
          <w:color w:val="000000"/>
        </w:rPr>
        <w:t xml:space="preserve"> LBN 241-15 </w:t>
      </w:r>
      <w:r>
        <w:rPr>
          <w:color w:val="000000"/>
        </w:rPr>
        <w:t>"</w:t>
      </w:r>
      <w:r w:rsidRPr="004260BE">
        <w:rPr>
          <w:color w:val="000000"/>
        </w:rPr>
        <w:t>Dabasgāzes iekšējo gāzes</w:t>
      </w:r>
      <w:r>
        <w:rPr>
          <w:color w:val="000000"/>
        </w:rPr>
        <w:t xml:space="preserve">vadu sistēma"", </w:t>
      </w:r>
      <w:r w:rsidRPr="0057729D">
        <w:rPr>
          <w:color w:val="FF0000"/>
        </w:rPr>
        <w:t>Ministru kabineta 2016.gada 19.aprīļa noteikumiem Nr.238 "Ugunsdrošības noteikumi"</w:t>
      </w:r>
      <w:r>
        <w:rPr>
          <w:color w:val="000000"/>
        </w:rPr>
        <w:t>, likumam "</w:t>
      </w:r>
      <w:r w:rsidRPr="004260BE">
        <w:rPr>
          <w:color w:val="000000"/>
        </w:rPr>
        <w:t>Par bīst</w:t>
      </w:r>
      <w:r>
        <w:rPr>
          <w:color w:val="000000"/>
        </w:rPr>
        <w:t>amo iekārtu tehnisko uzraudzību".</w:t>
      </w:r>
    </w:p>
    <w:sectPr w:rsidR="0057729D" w:rsidRPr="0057729D" w:rsidSect="00CF7A59">
      <w:pgSz w:w="11906" w:h="16838"/>
      <w:pgMar w:top="1134" w:right="1361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DB6" w:rsidRDefault="005A1DB6" w:rsidP="0057729D">
      <w:r>
        <w:separator/>
      </w:r>
    </w:p>
  </w:endnote>
  <w:endnote w:type="continuationSeparator" w:id="0">
    <w:p w:rsidR="005A1DB6" w:rsidRDefault="005A1DB6" w:rsidP="0057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DB6" w:rsidRDefault="005A1DB6" w:rsidP="0057729D">
      <w:r>
        <w:separator/>
      </w:r>
    </w:p>
  </w:footnote>
  <w:footnote w:type="continuationSeparator" w:id="0">
    <w:p w:rsidR="005A1DB6" w:rsidRDefault="005A1DB6" w:rsidP="00577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0C086E"/>
    <w:multiLevelType w:val="hybridMultilevel"/>
    <w:tmpl w:val="7FAC5472"/>
    <w:lvl w:ilvl="0" w:tplc="57EE96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59"/>
    <w:rsid w:val="00227506"/>
    <w:rsid w:val="00335884"/>
    <w:rsid w:val="0057729D"/>
    <w:rsid w:val="005A1DB6"/>
    <w:rsid w:val="00866C0C"/>
    <w:rsid w:val="00AC7642"/>
    <w:rsid w:val="00C34930"/>
    <w:rsid w:val="00CF7A59"/>
    <w:rsid w:val="00F0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58C36-83A7-41E8-AEAD-962BEAD6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8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884"/>
    <w:rPr>
      <w:rFonts w:ascii="Segoe UI" w:eastAsia="Times New Roman" w:hAnsi="Segoe UI" w:cs="Segoe UI"/>
      <w:sz w:val="18"/>
      <w:szCs w:val="18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72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729D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EndnoteReference">
    <w:name w:val="endnote reference"/>
    <w:basedOn w:val="DefaultParagraphFont"/>
    <w:uiPriority w:val="99"/>
    <w:semiHidden/>
    <w:unhideWhenUsed/>
    <w:rsid w:val="005772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4603</Words>
  <Characters>2625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Visnevska</dc:creator>
  <cp:keywords/>
  <dc:description/>
  <cp:lastModifiedBy>Vineta Vietniece</cp:lastModifiedBy>
  <cp:revision>3</cp:revision>
  <cp:lastPrinted>2018-07-31T07:56:00Z</cp:lastPrinted>
  <dcterms:created xsi:type="dcterms:W3CDTF">2018-11-22T13:35:00Z</dcterms:created>
  <dcterms:modified xsi:type="dcterms:W3CDTF">2018-11-22T14:00:00Z</dcterms:modified>
</cp:coreProperties>
</file>